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9014" w14:textId="77777777" w:rsidR="002F3B0B" w:rsidRPr="00D84D56" w:rsidRDefault="00645F0A" w:rsidP="006A24B6">
      <w:pPr>
        <w:spacing w:before="60" w:after="120"/>
        <w:jc w:val="both"/>
        <w:rPr>
          <w:rFonts w:cs="Arial"/>
          <w:lang w:val="en-GB"/>
        </w:rPr>
      </w:pPr>
      <w:r w:rsidRPr="00D84D56">
        <w:rPr>
          <w:rFonts w:cs="Arial"/>
          <w:noProof/>
          <w:lang w:val="en-GB"/>
        </w:rPr>
        <w:drawing>
          <wp:anchor distT="0" distB="0" distL="114300" distR="114300" simplePos="0" relativeHeight="251658240" behindDoc="0" locked="0" layoutInCell="1" allowOverlap="1" wp14:anchorId="2155F0DB" wp14:editId="7905CD75">
            <wp:simplePos x="0" y="0"/>
            <wp:positionH relativeFrom="column">
              <wp:posOffset>5029200</wp:posOffset>
            </wp:positionH>
            <wp:positionV relativeFrom="paragraph">
              <wp:posOffset>-305435</wp:posOffset>
            </wp:positionV>
            <wp:extent cx="1295400" cy="833120"/>
            <wp:effectExtent l="0" t="0" r="0" b="0"/>
            <wp:wrapSquare wrapText="bothSides"/>
            <wp:docPr id="24" name="Picture 1" descr="Waltham Forest Logo (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tham Forest Logo (gr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CA2">
        <w:rPr>
          <w:rFonts w:cs="Arial"/>
          <w:lang w:val="en-GB"/>
        </w:rPr>
        <w:pict w14:anchorId="6EA801C7">
          <v:rect id="_x0000_i1025" style="width:424.3pt;height:1.5pt" o:hralign="center" o:hrstd="t" o:hrnoshade="t" o:hr="t" fillcolor="#396" stroked="f"/>
        </w:pict>
      </w:r>
    </w:p>
    <w:p w14:paraId="1CFEB40E" w14:textId="554D9033" w:rsidR="002F3B0B" w:rsidRPr="00D61568" w:rsidRDefault="00935963" w:rsidP="006A24B6">
      <w:pPr>
        <w:spacing w:before="60" w:after="120"/>
        <w:jc w:val="both"/>
        <w:rPr>
          <w:rFonts w:cs="Arial"/>
          <w:lang w:val="en-GB"/>
        </w:rPr>
      </w:pPr>
      <w:r w:rsidRPr="00D61568">
        <w:rPr>
          <w:rFonts w:cs="Arial"/>
          <w:lang w:val="en-GB"/>
        </w:rPr>
        <w:t>Date</w:t>
      </w:r>
      <w:r w:rsidR="009859F6" w:rsidRPr="00D61568">
        <w:rPr>
          <w:rFonts w:cs="Arial"/>
          <w:lang w:val="en-GB"/>
        </w:rPr>
        <w:t xml:space="preserve"> </w:t>
      </w:r>
      <w:r w:rsidR="0008424C">
        <w:rPr>
          <w:rFonts w:cs="Arial"/>
          <w:lang w:val="en-GB"/>
        </w:rPr>
        <w:t>20.02.2020</w:t>
      </w:r>
      <w:r w:rsidR="009859F6" w:rsidRPr="00D61568">
        <w:rPr>
          <w:rFonts w:cs="Arial"/>
          <w:lang w:val="en-GB"/>
        </w:rPr>
        <w:t xml:space="preserve"> </w:t>
      </w:r>
    </w:p>
    <w:tbl>
      <w:tblPr>
        <w:tblW w:w="0" w:type="auto"/>
        <w:tblInd w:w="1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Look w:val="0000" w:firstRow="0" w:lastRow="0" w:firstColumn="0" w:lastColumn="0" w:noHBand="0" w:noVBand="0"/>
      </w:tblPr>
      <w:tblGrid>
        <w:gridCol w:w="9827"/>
      </w:tblGrid>
      <w:tr w:rsidR="002F3B0B" w:rsidRPr="00D84D56" w14:paraId="5432C049" w14:textId="77777777" w:rsidTr="00F10C33">
        <w:tc>
          <w:tcPr>
            <w:tcW w:w="10080" w:type="dxa"/>
            <w:shd w:val="clear" w:color="auto" w:fill="C0C0C0"/>
            <w:tcMar>
              <w:top w:w="72" w:type="dxa"/>
              <w:left w:w="115" w:type="dxa"/>
              <w:bottom w:w="29" w:type="dxa"/>
              <w:right w:w="115" w:type="dxa"/>
            </w:tcMar>
          </w:tcPr>
          <w:p w14:paraId="724E40D2" w14:textId="77777777" w:rsidR="00582BD1" w:rsidRPr="0008424C" w:rsidRDefault="00266450" w:rsidP="0008424C">
            <w:pPr>
              <w:jc w:val="center"/>
              <w:rPr>
                <w:rFonts w:cs="Arial"/>
                <w:b/>
                <w:sz w:val="30"/>
                <w:szCs w:val="30"/>
                <w:lang w:val="en-GB"/>
              </w:rPr>
            </w:pPr>
            <w:r w:rsidRPr="0008424C">
              <w:rPr>
                <w:rFonts w:cs="Arial"/>
                <w:b/>
                <w:sz w:val="30"/>
                <w:szCs w:val="30"/>
                <w:lang w:val="en-GB"/>
              </w:rPr>
              <w:t>GENDER IDENTITY</w:t>
            </w:r>
            <w:r w:rsidR="00A42FDD" w:rsidRPr="0008424C">
              <w:rPr>
                <w:rFonts w:cs="Arial"/>
                <w:b/>
                <w:sz w:val="30"/>
                <w:szCs w:val="30"/>
                <w:lang w:val="en-GB"/>
              </w:rPr>
              <w:t xml:space="preserve"> AND INTERSEX</w:t>
            </w:r>
            <w:r w:rsidR="00582BD1" w:rsidRPr="0008424C">
              <w:rPr>
                <w:rFonts w:cs="Arial"/>
                <w:b/>
                <w:sz w:val="30"/>
                <w:szCs w:val="30"/>
                <w:lang w:val="en-GB"/>
              </w:rPr>
              <w:t xml:space="preserve"> </w:t>
            </w:r>
            <w:r w:rsidR="00A42FDD" w:rsidRPr="0008424C">
              <w:rPr>
                <w:rFonts w:cs="Arial"/>
                <w:b/>
                <w:sz w:val="30"/>
                <w:szCs w:val="30"/>
                <w:lang w:val="en-GB"/>
              </w:rPr>
              <w:t>INCLUSION</w:t>
            </w:r>
            <w:r w:rsidR="00582BD1" w:rsidRPr="0008424C">
              <w:rPr>
                <w:rFonts w:cs="Arial"/>
                <w:b/>
                <w:sz w:val="30"/>
                <w:szCs w:val="30"/>
                <w:lang w:val="en-GB"/>
              </w:rPr>
              <w:t>:</w:t>
            </w:r>
          </w:p>
          <w:p w14:paraId="3F1999EC" w14:textId="77777777" w:rsidR="002F3B0B" w:rsidRPr="00D84D56" w:rsidRDefault="00582BD1" w:rsidP="0008424C">
            <w:pPr>
              <w:jc w:val="center"/>
              <w:rPr>
                <w:rFonts w:cs="Arial"/>
                <w:b/>
                <w:color w:val="FF0000"/>
                <w:sz w:val="32"/>
                <w:szCs w:val="32"/>
                <w:lang w:val="en-GB"/>
              </w:rPr>
            </w:pPr>
            <w:r w:rsidRPr="0008424C">
              <w:rPr>
                <w:rFonts w:cs="Arial"/>
                <w:b/>
                <w:sz w:val="30"/>
                <w:szCs w:val="30"/>
                <w:lang w:val="en-GB"/>
              </w:rPr>
              <w:t xml:space="preserve">GUIDANCE AND </w:t>
            </w:r>
            <w:r w:rsidR="00247B03" w:rsidRPr="0008424C">
              <w:rPr>
                <w:rFonts w:cs="Arial"/>
                <w:b/>
                <w:sz w:val="30"/>
                <w:szCs w:val="30"/>
                <w:lang w:val="en-GB"/>
              </w:rPr>
              <w:t>POLICY</w:t>
            </w:r>
          </w:p>
        </w:tc>
      </w:tr>
    </w:tbl>
    <w:p w14:paraId="3A078A49" w14:textId="77777777" w:rsidR="006A24B6" w:rsidRPr="00D84D56" w:rsidRDefault="006A24B6" w:rsidP="00065239">
      <w:pPr>
        <w:rPr>
          <w:lang w:val="en-GB"/>
        </w:rPr>
      </w:pPr>
    </w:p>
    <w:p w14:paraId="0F43B139" w14:textId="732744D7" w:rsidR="00065239" w:rsidRPr="001B6F7F" w:rsidRDefault="006A24B6" w:rsidP="00065239">
      <w:pPr>
        <w:rPr>
          <w:b/>
          <w:lang w:val="en-GB"/>
        </w:rPr>
      </w:pPr>
      <w:r w:rsidRPr="00D84D56">
        <w:rPr>
          <w:b/>
          <w:lang w:val="en-GB"/>
        </w:rPr>
        <w:t>Contents</w:t>
      </w:r>
    </w:p>
    <w:p w14:paraId="386ADA45" w14:textId="51849C3E" w:rsidR="001B6F7F" w:rsidRPr="00C075BF" w:rsidRDefault="006A24B6" w:rsidP="001B6F7F">
      <w:pPr>
        <w:pStyle w:val="TOC1"/>
        <w:rPr>
          <w:rFonts w:asciiTheme="minorHAnsi" w:eastAsiaTheme="minorEastAsia" w:hAnsiTheme="minorHAnsi" w:cstheme="minorBidi"/>
          <w:b/>
          <w:noProof/>
          <w:szCs w:val="22"/>
          <w:lang w:val="en-GB"/>
        </w:rPr>
      </w:pPr>
      <w:r w:rsidRPr="001B6F7F">
        <w:rPr>
          <w:rFonts w:cs="Arial"/>
          <w:bCs/>
          <w:szCs w:val="22"/>
          <w:lang w:val="en-GB"/>
        </w:rPr>
        <w:fldChar w:fldCharType="begin"/>
      </w:r>
      <w:r w:rsidRPr="001B6F7F">
        <w:rPr>
          <w:rFonts w:cs="Arial"/>
          <w:bCs/>
          <w:szCs w:val="22"/>
          <w:lang w:val="en-GB"/>
        </w:rPr>
        <w:instrText xml:space="preserve"> TOC \o "1-3" \h \z \u </w:instrText>
      </w:r>
      <w:r w:rsidRPr="001B6F7F">
        <w:rPr>
          <w:rFonts w:cs="Arial"/>
          <w:bCs/>
          <w:szCs w:val="22"/>
          <w:lang w:val="en-GB"/>
        </w:rPr>
        <w:fldChar w:fldCharType="separate"/>
      </w:r>
      <w:hyperlink w:anchor="_Toc19273732" w:history="1">
        <w:r w:rsidR="001B6F7F" w:rsidRPr="00C075BF">
          <w:rPr>
            <w:rStyle w:val="Hyperlink"/>
            <w:b/>
            <w:noProof/>
            <w:lang w:val="en-GB"/>
          </w:rPr>
          <w:t>1.</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Introduction</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_Toc19273732 \h </w:instrText>
        </w:r>
        <w:r w:rsidR="001B6F7F" w:rsidRPr="00C075BF">
          <w:rPr>
            <w:b/>
            <w:noProof/>
            <w:webHidden/>
          </w:rPr>
        </w:r>
        <w:r w:rsidR="001B6F7F" w:rsidRPr="00C075BF">
          <w:rPr>
            <w:b/>
            <w:noProof/>
            <w:webHidden/>
          </w:rPr>
          <w:fldChar w:fldCharType="separate"/>
        </w:r>
        <w:r w:rsidR="009546A9">
          <w:rPr>
            <w:b/>
            <w:noProof/>
            <w:webHidden/>
          </w:rPr>
          <w:t>2</w:t>
        </w:r>
        <w:r w:rsidR="001B6F7F" w:rsidRPr="00C075BF">
          <w:rPr>
            <w:b/>
            <w:noProof/>
            <w:webHidden/>
          </w:rPr>
          <w:fldChar w:fldCharType="end"/>
        </w:r>
      </w:hyperlink>
    </w:p>
    <w:p w14:paraId="7644666D" w14:textId="7F3F80E2" w:rsidR="001B6F7F" w:rsidRPr="00C075BF" w:rsidRDefault="00E64CA2">
      <w:pPr>
        <w:pStyle w:val="TOC2"/>
        <w:tabs>
          <w:tab w:val="left" w:pos="880"/>
          <w:tab w:val="right" w:leader="dot" w:pos="9962"/>
        </w:tabs>
        <w:rPr>
          <w:rFonts w:asciiTheme="minorHAnsi" w:eastAsiaTheme="minorEastAsia" w:hAnsiTheme="minorHAnsi" w:cstheme="minorBidi"/>
          <w:b/>
          <w:noProof/>
          <w:szCs w:val="22"/>
          <w:lang w:val="en-GB"/>
        </w:rPr>
      </w:pPr>
      <w:hyperlink w:anchor="_Toc19273733" w:history="1">
        <w:r w:rsidR="001B6F7F" w:rsidRPr="00C075BF">
          <w:rPr>
            <w:rStyle w:val="Hyperlink"/>
            <w:b/>
            <w:noProof/>
            <w:lang w:val="en-GB"/>
          </w:rPr>
          <w:t>1.1.</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Policy statement: The Council’s position</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_Toc19273733 \h </w:instrText>
        </w:r>
        <w:r w:rsidR="001B6F7F" w:rsidRPr="00C075BF">
          <w:rPr>
            <w:b/>
            <w:noProof/>
            <w:webHidden/>
          </w:rPr>
        </w:r>
        <w:r w:rsidR="001B6F7F" w:rsidRPr="00C075BF">
          <w:rPr>
            <w:b/>
            <w:noProof/>
            <w:webHidden/>
          </w:rPr>
          <w:fldChar w:fldCharType="separate"/>
        </w:r>
        <w:r w:rsidR="009546A9">
          <w:rPr>
            <w:b/>
            <w:noProof/>
            <w:webHidden/>
          </w:rPr>
          <w:t>2</w:t>
        </w:r>
        <w:r w:rsidR="001B6F7F" w:rsidRPr="00C075BF">
          <w:rPr>
            <w:b/>
            <w:noProof/>
            <w:webHidden/>
          </w:rPr>
          <w:fldChar w:fldCharType="end"/>
        </w:r>
      </w:hyperlink>
    </w:p>
    <w:p w14:paraId="391A49E0" w14:textId="0995DADB" w:rsidR="001B6F7F" w:rsidRPr="00C075BF" w:rsidRDefault="00E64CA2">
      <w:pPr>
        <w:pStyle w:val="TOC2"/>
        <w:tabs>
          <w:tab w:val="left" w:pos="880"/>
          <w:tab w:val="right" w:leader="dot" w:pos="9962"/>
        </w:tabs>
        <w:rPr>
          <w:rFonts w:asciiTheme="minorHAnsi" w:eastAsiaTheme="minorEastAsia" w:hAnsiTheme="minorHAnsi" w:cstheme="minorBidi"/>
          <w:b/>
          <w:noProof/>
          <w:szCs w:val="22"/>
          <w:lang w:val="en-GB"/>
        </w:rPr>
      </w:pPr>
      <w:hyperlink w:anchor="_Toc19273734" w:history="1">
        <w:r w:rsidR="001B6F7F" w:rsidRPr="00C075BF">
          <w:rPr>
            <w:rStyle w:val="Hyperlink"/>
            <w:b/>
            <w:noProof/>
            <w:lang w:val="en-GB"/>
          </w:rPr>
          <w:t>1.2.</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Responsibilities within this policy</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_Toc19273734 \h </w:instrText>
        </w:r>
        <w:r w:rsidR="001B6F7F" w:rsidRPr="00C075BF">
          <w:rPr>
            <w:b/>
            <w:noProof/>
            <w:webHidden/>
          </w:rPr>
        </w:r>
        <w:r w:rsidR="001B6F7F" w:rsidRPr="00C075BF">
          <w:rPr>
            <w:b/>
            <w:noProof/>
            <w:webHidden/>
          </w:rPr>
          <w:fldChar w:fldCharType="separate"/>
        </w:r>
        <w:r w:rsidR="009546A9">
          <w:rPr>
            <w:b/>
            <w:noProof/>
            <w:webHidden/>
          </w:rPr>
          <w:t>3</w:t>
        </w:r>
        <w:r w:rsidR="001B6F7F" w:rsidRPr="00C075BF">
          <w:rPr>
            <w:b/>
            <w:noProof/>
            <w:webHidden/>
          </w:rPr>
          <w:fldChar w:fldCharType="end"/>
        </w:r>
      </w:hyperlink>
    </w:p>
    <w:p w14:paraId="4090EDF7" w14:textId="3C646349" w:rsidR="001B6F7F" w:rsidRPr="00C075BF" w:rsidRDefault="00E64CA2" w:rsidP="001B6F7F">
      <w:pPr>
        <w:pStyle w:val="TOC1"/>
        <w:rPr>
          <w:rFonts w:asciiTheme="minorHAnsi" w:eastAsiaTheme="minorEastAsia" w:hAnsiTheme="minorHAnsi" w:cstheme="minorBidi"/>
          <w:b/>
          <w:noProof/>
          <w:szCs w:val="22"/>
          <w:lang w:val="en-GB"/>
        </w:rPr>
      </w:pPr>
      <w:hyperlink w:anchor="_Toc19273735" w:history="1">
        <w:r w:rsidR="001B6F7F" w:rsidRPr="00C075BF">
          <w:rPr>
            <w:rStyle w:val="Hyperlink"/>
            <w:b/>
            <w:noProof/>
            <w:lang w:val="en-GB"/>
          </w:rPr>
          <w:t>2.</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Protected categories under this policy</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_Toc19273735 \h </w:instrText>
        </w:r>
        <w:r w:rsidR="001B6F7F" w:rsidRPr="00C075BF">
          <w:rPr>
            <w:b/>
            <w:noProof/>
            <w:webHidden/>
          </w:rPr>
        </w:r>
        <w:r w:rsidR="001B6F7F" w:rsidRPr="00C075BF">
          <w:rPr>
            <w:b/>
            <w:noProof/>
            <w:webHidden/>
          </w:rPr>
          <w:fldChar w:fldCharType="separate"/>
        </w:r>
        <w:r w:rsidR="009546A9">
          <w:rPr>
            <w:b/>
            <w:noProof/>
            <w:webHidden/>
          </w:rPr>
          <w:t>4</w:t>
        </w:r>
        <w:r w:rsidR="001B6F7F" w:rsidRPr="00C075BF">
          <w:rPr>
            <w:b/>
            <w:noProof/>
            <w:webHidden/>
          </w:rPr>
          <w:fldChar w:fldCharType="end"/>
        </w:r>
      </w:hyperlink>
    </w:p>
    <w:p w14:paraId="13060389" w14:textId="4E7895DA" w:rsidR="001B6F7F" w:rsidRPr="00C075BF" w:rsidRDefault="00E64CA2">
      <w:pPr>
        <w:pStyle w:val="TOC2"/>
        <w:tabs>
          <w:tab w:val="left" w:pos="880"/>
          <w:tab w:val="right" w:leader="dot" w:pos="9962"/>
        </w:tabs>
        <w:rPr>
          <w:rFonts w:asciiTheme="minorHAnsi" w:eastAsiaTheme="minorEastAsia" w:hAnsiTheme="minorHAnsi" w:cstheme="minorBidi"/>
          <w:b/>
          <w:noProof/>
          <w:szCs w:val="22"/>
          <w:lang w:val="en-GB"/>
        </w:rPr>
      </w:pPr>
      <w:hyperlink w:anchor="_Toc19273736" w:history="1">
        <w:r w:rsidR="001B6F7F" w:rsidRPr="00C075BF">
          <w:rPr>
            <w:rStyle w:val="Hyperlink"/>
            <w:b/>
            <w:noProof/>
            <w:lang w:val="en-GB"/>
          </w:rPr>
          <w:t>2.1.</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Gender diversity</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_Toc19273736 \h </w:instrText>
        </w:r>
        <w:r w:rsidR="001B6F7F" w:rsidRPr="00C075BF">
          <w:rPr>
            <w:b/>
            <w:noProof/>
            <w:webHidden/>
          </w:rPr>
        </w:r>
        <w:r w:rsidR="001B6F7F" w:rsidRPr="00C075BF">
          <w:rPr>
            <w:b/>
            <w:noProof/>
            <w:webHidden/>
          </w:rPr>
          <w:fldChar w:fldCharType="separate"/>
        </w:r>
        <w:r w:rsidR="009546A9">
          <w:rPr>
            <w:b/>
            <w:noProof/>
            <w:webHidden/>
          </w:rPr>
          <w:t>4</w:t>
        </w:r>
        <w:r w:rsidR="001B6F7F" w:rsidRPr="00C075BF">
          <w:rPr>
            <w:b/>
            <w:noProof/>
            <w:webHidden/>
          </w:rPr>
          <w:fldChar w:fldCharType="end"/>
        </w:r>
      </w:hyperlink>
    </w:p>
    <w:p w14:paraId="68C25A56" w14:textId="60212C13" w:rsidR="001B6F7F" w:rsidRPr="00C075BF" w:rsidRDefault="00E64CA2">
      <w:pPr>
        <w:pStyle w:val="TOC2"/>
        <w:tabs>
          <w:tab w:val="left" w:pos="1100"/>
          <w:tab w:val="right" w:leader="dot" w:pos="9962"/>
        </w:tabs>
        <w:rPr>
          <w:rFonts w:asciiTheme="minorHAnsi" w:eastAsiaTheme="minorEastAsia" w:hAnsiTheme="minorHAnsi" w:cstheme="minorBidi"/>
          <w:b/>
          <w:noProof/>
          <w:szCs w:val="22"/>
          <w:lang w:val="en-GB"/>
        </w:rPr>
      </w:pPr>
      <w:hyperlink w:anchor="_Toc19273737" w:history="1">
        <w:r w:rsidR="001B6F7F" w:rsidRPr="00C075BF">
          <w:rPr>
            <w:rStyle w:val="Hyperlink"/>
            <w:b/>
            <w:noProof/>
            <w:lang w:val="en-GB"/>
          </w:rPr>
          <w:t>2.1.1.</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Transgender</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_Toc19273737 \h </w:instrText>
        </w:r>
        <w:r w:rsidR="001B6F7F" w:rsidRPr="00C075BF">
          <w:rPr>
            <w:b/>
            <w:noProof/>
            <w:webHidden/>
          </w:rPr>
        </w:r>
        <w:r w:rsidR="001B6F7F" w:rsidRPr="00C075BF">
          <w:rPr>
            <w:b/>
            <w:noProof/>
            <w:webHidden/>
          </w:rPr>
          <w:fldChar w:fldCharType="separate"/>
        </w:r>
        <w:r w:rsidR="009546A9">
          <w:rPr>
            <w:b/>
            <w:noProof/>
            <w:webHidden/>
          </w:rPr>
          <w:t>4</w:t>
        </w:r>
        <w:r w:rsidR="001B6F7F" w:rsidRPr="00C075BF">
          <w:rPr>
            <w:b/>
            <w:noProof/>
            <w:webHidden/>
          </w:rPr>
          <w:fldChar w:fldCharType="end"/>
        </w:r>
      </w:hyperlink>
    </w:p>
    <w:p w14:paraId="03107E98" w14:textId="5F9DF10A" w:rsidR="001B6F7F" w:rsidRPr="00C075BF" w:rsidRDefault="00E64CA2">
      <w:pPr>
        <w:pStyle w:val="TOC2"/>
        <w:tabs>
          <w:tab w:val="left" w:pos="1100"/>
          <w:tab w:val="right" w:leader="dot" w:pos="9962"/>
        </w:tabs>
        <w:rPr>
          <w:rFonts w:asciiTheme="minorHAnsi" w:eastAsiaTheme="minorEastAsia" w:hAnsiTheme="minorHAnsi" w:cstheme="minorBidi"/>
          <w:b/>
          <w:noProof/>
          <w:szCs w:val="22"/>
          <w:lang w:val="en-GB"/>
        </w:rPr>
      </w:pPr>
      <w:hyperlink w:anchor="_Toc19273738" w:history="1">
        <w:r w:rsidR="001B6F7F" w:rsidRPr="00C075BF">
          <w:rPr>
            <w:rStyle w:val="Hyperlink"/>
            <w:b/>
            <w:noProof/>
            <w:lang w:val="en-GB"/>
          </w:rPr>
          <w:t>2.1.2.</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Non-binary</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_Toc19273738 \h </w:instrText>
        </w:r>
        <w:r w:rsidR="001B6F7F" w:rsidRPr="00C075BF">
          <w:rPr>
            <w:b/>
            <w:noProof/>
            <w:webHidden/>
          </w:rPr>
        </w:r>
        <w:r w:rsidR="001B6F7F" w:rsidRPr="00C075BF">
          <w:rPr>
            <w:b/>
            <w:noProof/>
            <w:webHidden/>
          </w:rPr>
          <w:fldChar w:fldCharType="separate"/>
        </w:r>
        <w:r w:rsidR="0079477E">
          <w:rPr>
            <w:b/>
            <w:noProof/>
            <w:webHidden/>
          </w:rPr>
          <w:t>5</w:t>
        </w:r>
        <w:r w:rsidR="001B6F7F" w:rsidRPr="00C075BF">
          <w:rPr>
            <w:b/>
            <w:noProof/>
            <w:webHidden/>
          </w:rPr>
          <w:fldChar w:fldCharType="end"/>
        </w:r>
      </w:hyperlink>
    </w:p>
    <w:p w14:paraId="2AD54F88" w14:textId="384924D2" w:rsidR="001B6F7F" w:rsidRPr="00C075BF" w:rsidRDefault="00E64CA2">
      <w:pPr>
        <w:pStyle w:val="TOC2"/>
        <w:tabs>
          <w:tab w:val="left" w:pos="880"/>
          <w:tab w:val="right" w:leader="dot" w:pos="9962"/>
        </w:tabs>
        <w:rPr>
          <w:rFonts w:asciiTheme="minorHAnsi" w:eastAsiaTheme="minorEastAsia" w:hAnsiTheme="minorHAnsi" w:cstheme="minorBidi"/>
          <w:b/>
          <w:noProof/>
          <w:szCs w:val="22"/>
          <w:lang w:val="en-GB"/>
        </w:rPr>
      </w:pPr>
      <w:hyperlink w:anchor="_Toc19273739" w:history="1">
        <w:r w:rsidR="001B6F7F" w:rsidRPr="00C075BF">
          <w:rPr>
            <w:rStyle w:val="Hyperlink"/>
            <w:b/>
            <w:noProof/>
            <w:lang w:val="en-GB"/>
          </w:rPr>
          <w:t>2.2.</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Intersex</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_Toc19273739 \h </w:instrText>
        </w:r>
        <w:r w:rsidR="001B6F7F" w:rsidRPr="00C075BF">
          <w:rPr>
            <w:b/>
            <w:noProof/>
            <w:webHidden/>
          </w:rPr>
        </w:r>
        <w:r w:rsidR="001B6F7F" w:rsidRPr="00C075BF">
          <w:rPr>
            <w:b/>
            <w:noProof/>
            <w:webHidden/>
          </w:rPr>
          <w:fldChar w:fldCharType="separate"/>
        </w:r>
        <w:r w:rsidR="009546A9">
          <w:rPr>
            <w:b/>
            <w:noProof/>
            <w:webHidden/>
          </w:rPr>
          <w:t>5</w:t>
        </w:r>
        <w:r w:rsidR="001B6F7F" w:rsidRPr="00C075BF">
          <w:rPr>
            <w:b/>
            <w:noProof/>
            <w:webHidden/>
          </w:rPr>
          <w:fldChar w:fldCharType="end"/>
        </w:r>
      </w:hyperlink>
    </w:p>
    <w:p w14:paraId="5458E4BB" w14:textId="6F386DA5" w:rsidR="001B6F7F" w:rsidRPr="00C075BF" w:rsidRDefault="00E64CA2" w:rsidP="001B6F7F">
      <w:pPr>
        <w:pStyle w:val="TOC1"/>
        <w:rPr>
          <w:rFonts w:asciiTheme="minorHAnsi" w:eastAsiaTheme="minorEastAsia" w:hAnsiTheme="minorHAnsi" w:cstheme="minorBidi"/>
          <w:b/>
          <w:noProof/>
          <w:szCs w:val="22"/>
          <w:lang w:val="en-GB"/>
        </w:rPr>
      </w:pPr>
      <w:hyperlink w:anchor="_Toc19273740" w:history="1">
        <w:r w:rsidR="001B6F7F" w:rsidRPr="00C075BF">
          <w:rPr>
            <w:rStyle w:val="Hyperlink"/>
            <w:b/>
            <w:noProof/>
            <w:lang w:val="en-GB"/>
          </w:rPr>
          <w:t>3.</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Inclusive language and customer service</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_Toc19273740 \h </w:instrText>
        </w:r>
        <w:r w:rsidR="001B6F7F" w:rsidRPr="00C075BF">
          <w:rPr>
            <w:b/>
            <w:noProof/>
            <w:webHidden/>
          </w:rPr>
        </w:r>
        <w:r w:rsidR="001B6F7F" w:rsidRPr="00C075BF">
          <w:rPr>
            <w:b/>
            <w:noProof/>
            <w:webHidden/>
          </w:rPr>
          <w:fldChar w:fldCharType="separate"/>
        </w:r>
        <w:r w:rsidR="009546A9">
          <w:rPr>
            <w:b/>
            <w:noProof/>
            <w:webHidden/>
          </w:rPr>
          <w:t>5</w:t>
        </w:r>
        <w:r w:rsidR="001B6F7F" w:rsidRPr="00C075BF">
          <w:rPr>
            <w:b/>
            <w:noProof/>
            <w:webHidden/>
          </w:rPr>
          <w:fldChar w:fldCharType="end"/>
        </w:r>
      </w:hyperlink>
    </w:p>
    <w:p w14:paraId="714BBFFC" w14:textId="2281043F" w:rsidR="001B6F7F" w:rsidRPr="00C075BF" w:rsidRDefault="00E64CA2" w:rsidP="001B6F7F">
      <w:pPr>
        <w:pStyle w:val="TOC1"/>
        <w:rPr>
          <w:rFonts w:asciiTheme="minorHAnsi" w:eastAsiaTheme="minorEastAsia" w:hAnsiTheme="minorHAnsi" w:cstheme="minorBidi"/>
          <w:b/>
          <w:noProof/>
          <w:szCs w:val="22"/>
          <w:lang w:val="en-GB"/>
        </w:rPr>
      </w:pPr>
      <w:hyperlink w:anchor="_Toc19273741" w:history="1">
        <w:r w:rsidR="001B6F7F" w:rsidRPr="00C075BF">
          <w:rPr>
            <w:rStyle w:val="Hyperlink"/>
            <w:b/>
            <w:noProof/>
            <w:lang w:val="en-GB"/>
          </w:rPr>
          <w:t>4.</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Recruitment: vetting and onboarding</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_Toc19273741 \h </w:instrText>
        </w:r>
        <w:r w:rsidR="001B6F7F" w:rsidRPr="00C075BF">
          <w:rPr>
            <w:b/>
            <w:noProof/>
            <w:webHidden/>
          </w:rPr>
        </w:r>
        <w:r w:rsidR="001B6F7F" w:rsidRPr="00C075BF">
          <w:rPr>
            <w:b/>
            <w:noProof/>
            <w:webHidden/>
          </w:rPr>
          <w:fldChar w:fldCharType="separate"/>
        </w:r>
        <w:r w:rsidR="009546A9">
          <w:rPr>
            <w:b/>
            <w:noProof/>
            <w:webHidden/>
          </w:rPr>
          <w:t>6</w:t>
        </w:r>
        <w:r w:rsidR="001B6F7F" w:rsidRPr="00C075BF">
          <w:rPr>
            <w:b/>
            <w:noProof/>
            <w:webHidden/>
          </w:rPr>
          <w:fldChar w:fldCharType="end"/>
        </w:r>
      </w:hyperlink>
    </w:p>
    <w:p w14:paraId="02110F87" w14:textId="409FEC49" w:rsidR="001B6F7F" w:rsidRPr="00C075BF" w:rsidRDefault="00E64CA2" w:rsidP="001B6F7F">
      <w:pPr>
        <w:pStyle w:val="TOC1"/>
        <w:rPr>
          <w:rFonts w:asciiTheme="minorHAnsi" w:eastAsiaTheme="minorEastAsia" w:hAnsiTheme="minorHAnsi" w:cstheme="minorBidi"/>
          <w:b/>
          <w:noProof/>
          <w:szCs w:val="22"/>
          <w:lang w:val="en-GB"/>
        </w:rPr>
      </w:pPr>
      <w:hyperlink w:anchor="_Toc19273742" w:history="1">
        <w:r w:rsidR="001B6F7F" w:rsidRPr="00C075BF">
          <w:rPr>
            <w:rStyle w:val="Hyperlink"/>
            <w:b/>
            <w:noProof/>
            <w:lang w:val="en-GB"/>
          </w:rPr>
          <w:t>5.</w:t>
        </w:r>
        <w:r w:rsidR="001B6F7F" w:rsidRPr="00C075BF">
          <w:rPr>
            <w:rFonts w:asciiTheme="minorHAnsi" w:eastAsiaTheme="minorEastAsia" w:hAnsiTheme="minorHAnsi" w:cstheme="minorBidi"/>
            <w:b/>
            <w:noProof/>
            <w:szCs w:val="22"/>
            <w:lang w:val="en-GB"/>
          </w:rPr>
          <w:tab/>
        </w:r>
        <w:r w:rsidR="001B6F7F" w:rsidRPr="00C075BF">
          <w:rPr>
            <w:rStyle w:val="Hyperlink"/>
            <w:b/>
            <w:noProof/>
            <w:lang w:val="en-GB"/>
          </w:rPr>
          <w:t>During employment</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_Toc19273742 \h </w:instrText>
        </w:r>
        <w:r w:rsidR="001B6F7F" w:rsidRPr="00C075BF">
          <w:rPr>
            <w:b/>
            <w:noProof/>
            <w:webHidden/>
          </w:rPr>
        </w:r>
        <w:r w:rsidR="001B6F7F" w:rsidRPr="00C075BF">
          <w:rPr>
            <w:b/>
            <w:noProof/>
            <w:webHidden/>
          </w:rPr>
          <w:fldChar w:fldCharType="separate"/>
        </w:r>
        <w:r w:rsidR="0079477E">
          <w:rPr>
            <w:b/>
            <w:noProof/>
            <w:webHidden/>
          </w:rPr>
          <w:t>8</w:t>
        </w:r>
        <w:r w:rsidR="001B6F7F" w:rsidRPr="00C075BF">
          <w:rPr>
            <w:b/>
            <w:noProof/>
            <w:webHidden/>
          </w:rPr>
          <w:fldChar w:fldCharType="end"/>
        </w:r>
      </w:hyperlink>
    </w:p>
    <w:p w14:paraId="638D4D96" w14:textId="1FF9C90F" w:rsidR="001B6F7F" w:rsidRPr="00C075BF" w:rsidRDefault="00E64CA2" w:rsidP="001B6F7F">
      <w:pPr>
        <w:pStyle w:val="TOC1"/>
        <w:rPr>
          <w:rFonts w:asciiTheme="minorHAnsi" w:eastAsiaTheme="minorEastAsia" w:hAnsiTheme="minorHAnsi" w:cstheme="minorBidi"/>
          <w:b/>
          <w:noProof/>
          <w:szCs w:val="22"/>
          <w:lang w:val="en-GB"/>
        </w:rPr>
      </w:pPr>
      <w:hyperlink w:anchor="_Toc19273743" w:history="1">
        <w:r w:rsidR="001B6F7F" w:rsidRPr="00C075BF">
          <w:rPr>
            <w:rStyle w:val="Hyperlink"/>
            <w:b/>
            <w:noProof/>
            <w:lang w:val="en-GB"/>
          </w:rPr>
          <w:t>Appendix 1: The legal framework</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_Toc19273743 \h </w:instrText>
        </w:r>
        <w:r w:rsidR="001B6F7F" w:rsidRPr="00C075BF">
          <w:rPr>
            <w:b/>
            <w:noProof/>
            <w:webHidden/>
          </w:rPr>
        </w:r>
        <w:r w:rsidR="001B6F7F" w:rsidRPr="00C075BF">
          <w:rPr>
            <w:b/>
            <w:noProof/>
            <w:webHidden/>
          </w:rPr>
          <w:fldChar w:fldCharType="separate"/>
        </w:r>
        <w:r w:rsidR="009546A9">
          <w:rPr>
            <w:b/>
            <w:noProof/>
            <w:webHidden/>
          </w:rPr>
          <w:t>11</w:t>
        </w:r>
        <w:r w:rsidR="001B6F7F" w:rsidRPr="00C075BF">
          <w:rPr>
            <w:b/>
            <w:noProof/>
            <w:webHidden/>
          </w:rPr>
          <w:fldChar w:fldCharType="end"/>
        </w:r>
      </w:hyperlink>
    </w:p>
    <w:p w14:paraId="3EE65F64" w14:textId="5B8F4186" w:rsidR="001B6F7F" w:rsidRPr="00C075BF" w:rsidRDefault="00E64CA2" w:rsidP="001B6F7F">
      <w:pPr>
        <w:pStyle w:val="TOC1"/>
        <w:rPr>
          <w:rFonts w:asciiTheme="minorHAnsi" w:eastAsiaTheme="minorEastAsia" w:hAnsiTheme="minorHAnsi" w:cstheme="minorBidi"/>
          <w:b/>
          <w:noProof/>
          <w:szCs w:val="22"/>
          <w:lang w:val="en-GB"/>
        </w:rPr>
      </w:pPr>
      <w:hyperlink w:anchor="_Toc19273744" w:history="1">
        <w:r w:rsidR="001B6F7F" w:rsidRPr="00C075BF">
          <w:rPr>
            <w:rStyle w:val="Hyperlink"/>
            <w:b/>
            <w:noProof/>
            <w:lang w:val="en-GB"/>
          </w:rPr>
          <w:t>Appendix 2: Gender Identity and Expression and Intersex terminology</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_Toc19273744 \h </w:instrText>
        </w:r>
        <w:r w:rsidR="001B6F7F" w:rsidRPr="00C075BF">
          <w:rPr>
            <w:b/>
            <w:noProof/>
            <w:webHidden/>
          </w:rPr>
        </w:r>
        <w:r w:rsidR="001B6F7F" w:rsidRPr="00C075BF">
          <w:rPr>
            <w:b/>
            <w:noProof/>
            <w:webHidden/>
          </w:rPr>
          <w:fldChar w:fldCharType="separate"/>
        </w:r>
        <w:r w:rsidR="009546A9">
          <w:rPr>
            <w:b/>
            <w:noProof/>
            <w:webHidden/>
          </w:rPr>
          <w:t>14</w:t>
        </w:r>
        <w:r w:rsidR="001B6F7F" w:rsidRPr="00C075BF">
          <w:rPr>
            <w:b/>
            <w:noProof/>
            <w:webHidden/>
          </w:rPr>
          <w:fldChar w:fldCharType="end"/>
        </w:r>
      </w:hyperlink>
    </w:p>
    <w:p w14:paraId="26E65F63" w14:textId="1CAEC114" w:rsidR="001B6F7F" w:rsidRPr="00C075BF" w:rsidRDefault="00E64CA2" w:rsidP="001B6F7F">
      <w:pPr>
        <w:pStyle w:val="TOC1"/>
        <w:rPr>
          <w:rFonts w:asciiTheme="minorHAnsi" w:eastAsiaTheme="minorEastAsia" w:hAnsiTheme="minorHAnsi" w:cstheme="minorBidi"/>
          <w:b/>
          <w:noProof/>
          <w:szCs w:val="22"/>
          <w:lang w:val="en-GB"/>
        </w:rPr>
      </w:pPr>
      <w:hyperlink w:anchor="_Toc19273745" w:history="1">
        <w:r w:rsidR="001B6F7F" w:rsidRPr="00C075BF">
          <w:rPr>
            <w:rStyle w:val="Hyperlink"/>
            <w:b/>
            <w:noProof/>
            <w:lang w:val="en-GB"/>
          </w:rPr>
          <w:t>Appendix 3: The transition process</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_Toc19273745 \h </w:instrText>
        </w:r>
        <w:r w:rsidR="001B6F7F" w:rsidRPr="00C075BF">
          <w:rPr>
            <w:b/>
            <w:noProof/>
            <w:webHidden/>
          </w:rPr>
        </w:r>
        <w:r w:rsidR="001B6F7F" w:rsidRPr="00C075BF">
          <w:rPr>
            <w:b/>
            <w:noProof/>
            <w:webHidden/>
          </w:rPr>
          <w:fldChar w:fldCharType="separate"/>
        </w:r>
        <w:r w:rsidR="009546A9">
          <w:rPr>
            <w:b/>
            <w:noProof/>
            <w:webHidden/>
          </w:rPr>
          <w:t>17</w:t>
        </w:r>
        <w:r w:rsidR="001B6F7F" w:rsidRPr="00C075BF">
          <w:rPr>
            <w:b/>
            <w:noProof/>
            <w:webHidden/>
          </w:rPr>
          <w:fldChar w:fldCharType="end"/>
        </w:r>
      </w:hyperlink>
    </w:p>
    <w:p w14:paraId="6EE62D8E" w14:textId="30B01139" w:rsidR="001B6F7F" w:rsidRPr="00C075BF" w:rsidRDefault="00E64CA2" w:rsidP="001B6F7F">
      <w:pPr>
        <w:pStyle w:val="TOC1"/>
        <w:rPr>
          <w:rFonts w:asciiTheme="minorHAnsi" w:eastAsiaTheme="minorEastAsia" w:hAnsiTheme="minorHAnsi" w:cstheme="minorBidi"/>
          <w:b/>
          <w:noProof/>
          <w:szCs w:val="22"/>
          <w:lang w:val="en-GB"/>
        </w:rPr>
      </w:pPr>
      <w:hyperlink w:anchor="_Toc19273746" w:history="1">
        <w:r w:rsidR="001B6F7F" w:rsidRPr="00C075BF">
          <w:rPr>
            <w:rStyle w:val="Hyperlink"/>
            <w:b/>
            <w:noProof/>
            <w:lang w:val="en-GB"/>
          </w:rPr>
          <w:t>Appendix 4: Sources of information, advice and support</w:t>
        </w:r>
        <w:r w:rsidR="001B6F7F" w:rsidRPr="00C075BF">
          <w:rPr>
            <w:b/>
            <w:noProof/>
            <w:webHidden/>
          </w:rPr>
          <w:tab/>
        </w:r>
        <w:r w:rsidR="001B6F7F" w:rsidRPr="00C075BF">
          <w:rPr>
            <w:b/>
            <w:noProof/>
            <w:webHidden/>
          </w:rPr>
          <w:fldChar w:fldCharType="begin"/>
        </w:r>
        <w:r w:rsidR="001B6F7F" w:rsidRPr="00C075BF">
          <w:rPr>
            <w:b/>
            <w:noProof/>
            <w:webHidden/>
          </w:rPr>
          <w:instrText xml:space="preserve"> PAGEREF _Toc19273746 \h </w:instrText>
        </w:r>
        <w:r w:rsidR="001B6F7F" w:rsidRPr="00C075BF">
          <w:rPr>
            <w:b/>
            <w:noProof/>
            <w:webHidden/>
          </w:rPr>
        </w:r>
        <w:r w:rsidR="001B6F7F" w:rsidRPr="00C075BF">
          <w:rPr>
            <w:b/>
            <w:noProof/>
            <w:webHidden/>
          </w:rPr>
          <w:fldChar w:fldCharType="separate"/>
        </w:r>
        <w:r w:rsidR="009546A9">
          <w:rPr>
            <w:b/>
            <w:noProof/>
            <w:webHidden/>
          </w:rPr>
          <w:t>22</w:t>
        </w:r>
        <w:r w:rsidR="001B6F7F" w:rsidRPr="00C075BF">
          <w:rPr>
            <w:b/>
            <w:noProof/>
            <w:webHidden/>
          </w:rPr>
          <w:fldChar w:fldCharType="end"/>
        </w:r>
      </w:hyperlink>
    </w:p>
    <w:p w14:paraId="5A1CF7BC" w14:textId="695EF95F" w:rsidR="009859F6" w:rsidRDefault="006A24B6" w:rsidP="001B6F7F">
      <w:pPr>
        <w:rPr>
          <w:rFonts w:cs="Arial"/>
          <w:b/>
          <w:bCs/>
          <w:szCs w:val="22"/>
          <w:lang w:val="en-GB"/>
        </w:rPr>
      </w:pPr>
      <w:r w:rsidRPr="001B6F7F">
        <w:rPr>
          <w:rFonts w:cs="Arial"/>
          <w:b/>
          <w:bCs/>
          <w:szCs w:val="22"/>
          <w:lang w:val="en-GB"/>
        </w:rPr>
        <w:fldChar w:fldCharType="end"/>
      </w:r>
    </w:p>
    <w:p w14:paraId="74C71F6E" w14:textId="77777777" w:rsidR="00B971FC" w:rsidRPr="00D84D56" w:rsidRDefault="00B971FC" w:rsidP="00065239">
      <w:pPr>
        <w:jc w:val="both"/>
        <w:rPr>
          <w:rFonts w:cs="Arial"/>
          <w:b/>
          <w:sz w:val="20"/>
          <w:szCs w:val="20"/>
          <w:lang w:val="en-GB"/>
        </w:rPr>
      </w:pPr>
      <w:r w:rsidRPr="00D84D56">
        <w:rPr>
          <w:rFonts w:cs="Arial"/>
          <w:b/>
          <w:sz w:val="20"/>
          <w:szCs w:val="20"/>
          <w:lang w:val="en-GB"/>
        </w:rPr>
        <w:t>Version control</w:t>
      </w:r>
    </w:p>
    <w:p w14:paraId="160DB786" w14:textId="77777777" w:rsidR="00AF4C04" w:rsidRPr="00D84D56" w:rsidRDefault="00AF4C04" w:rsidP="00065239">
      <w:pPr>
        <w:jc w:val="both"/>
        <w:rPr>
          <w:rFonts w:cs="Arial"/>
          <w:b/>
          <w:sz w:val="20"/>
          <w:szCs w:val="20"/>
          <w:lang w:val="en-GB"/>
        </w:rPr>
      </w:pPr>
    </w:p>
    <w:tbl>
      <w:tblPr>
        <w:tblpPr w:leftFromText="180" w:rightFromText="180" w:vertAnchor="text" w:horzAnchor="margin" w:tblpXSpec="center" w:tblpY="-46"/>
        <w:tblW w:w="4993" w:type="pct"/>
        <w:tblCellSpacing w:w="15" w:type="dxa"/>
        <w:tblCellMar>
          <w:top w:w="15" w:type="dxa"/>
          <w:left w:w="15" w:type="dxa"/>
          <w:bottom w:w="15" w:type="dxa"/>
          <w:right w:w="15" w:type="dxa"/>
        </w:tblCellMar>
        <w:tblLook w:val="04A0" w:firstRow="1" w:lastRow="0" w:firstColumn="1" w:lastColumn="0" w:noHBand="0" w:noVBand="1"/>
      </w:tblPr>
      <w:tblGrid>
        <w:gridCol w:w="749"/>
        <w:gridCol w:w="2528"/>
        <w:gridCol w:w="1264"/>
        <w:gridCol w:w="1404"/>
        <w:gridCol w:w="1816"/>
        <w:gridCol w:w="1099"/>
        <w:gridCol w:w="1098"/>
      </w:tblGrid>
      <w:tr w:rsidR="00AF4C04" w:rsidRPr="00D84D56" w14:paraId="75E7F545" w14:textId="77777777" w:rsidTr="00E803CA">
        <w:trPr>
          <w:tblCellSpacing w:w="15" w:type="dxa"/>
        </w:trPr>
        <w:tc>
          <w:tcPr>
            <w:tcW w:w="353" w:type="pct"/>
            <w:shd w:val="clear" w:color="auto" w:fill="F4F4F4"/>
            <w:vAlign w:val="center"/>
            <w:hideMark/>
          </w:tcPr>
          <w:p w14:paraId="27464D33" w14:textId="77777777" w:rsidR="00AF4C04" w:rsidRPr="00D84D56" w:rsidRDefault="00AF4C04" w:rsidP="00E803CA">
            <w:pPr>
              <w:rPr>
                <w:rFonts w:cs="Arial"/>
                <w:sz w:val="18"/>
                <w:szCs w:val="18"/>
                <w:lang w:val="en-GB"/>
              </w:rPr>
            </w:pPr>
            <w:r w:rsidRPr="00D84D56">
              <w:rPr>
                <w:rFonts w:cs="Arial"/>
                <w:sz w:val="18"/>
                <w:szCs w:val="18"/>
                <w:lang w:val="en-GB"/>
              </w:rPr>
              <w:t>Version No</w:t>
            </w:r>
          </w:p>
        </w:tc>
        <w:tc>
          <w:tcPr>
            <w:tcW w:w="1254" w:type="pct"/>
            <w:shd w:val="clear" w:color="auto" w:fill="F4F4F4"/>
            <w:vAlign w:val="center"/>
            <w:hideMark/>
          </w:tcPr>
          <w:p w14:paraId="4F0C55DF" w14:textId="77777777" w:rsidR="00AF4C04" w:rsidRPr="00D84D56" w:rsidRDefault="00AF4C04" w:rsidP="00E803CA">
            <w:pPr>
              <w:rPr>
                <w:rFonts w:cs="Arial"/>
                <w:sz w:val="18"/>
                <w:szCs w:val="18"/>
                <w:lang w:val="en-GB"/>
              </w:rPr>
            </w:pPr>
            <w:r w:rsidRPr="00D84D56">
              <w:rPr>
                <w:rFonts w:cs="Arial"/>
                <w:sz w:val="18"/>
                <w:szCs w:val="18"/>
                <w:lang w:val="en-GB"/>
              </w:rPr>
              <w:t>Purpose/</w:t>
            </w:r>
            <w:r w:rsidR="001670CF" w:rsidRPr="00D84D56">
              <w:rPr>
                <w:rFonts w:cs="Arial"/>
                <w:sz w:val="18"/>
                <w:szCs w:val="18"/>
                <w:lang w:val="en-GB"/>
              </w:rPr>
              <w:t xml:space="preserve"> </w:t>
            </w:r>
            <w:r w:rsidRPr="00D84D56">
              <w:rPr>
                <w:rFonts w:cs="Arial"/>
                <w:sz w:val="18"/>
                <w:szCs w:val="18"/>
                <w:lang w:val="en-GB"/>
              </w:rPr>
              <w:t>Change</w:t>
            </w:r>
          </w:p>
        </w:tc>
        <w:tc>
          <w:tcPr>
            <w:tcW w:w="620" w:type="pct"/>
            <w:shd w:val="clear" w:color="auto" w:fill="F4F4F4"/>
            <w:vAlign w:val="center"/>
            <w:hideMark/>
          </w:tcPr>
          <w:p w14:paraId="27473CA1" w14:textId="77777777" w:rsidR="00AF4C04" w:rsidRPr="00D84D56" w:rsidRDefault="00AF4C04" w:rsidP="00E803CA">
            <w:pPr>
              <w:rPr>
                <w:rFonts w:cs="Arial"/>
                <w:sz w:val="18"/>
                <w:szCs w:val="18"/>
                <w:lang w:val="en-GB"/>
              </w:rPr>
            </w:pPr>
            <w:r w:rsidRPr="00D84D56">
              <w:rPr>
                <w:rFonts w:cs="Arial"/>
                <w:sz w:val="18"/>
                <w:szCs w:val="18"/>
                <w:lang w:val="en-GB"/>
              </w:rPr>
              <w:t>Author</w:t>
            </w:r>
          </w:p>
        </w:tc>
        <w:tc>
          <w:tcPr>
            <w:tcW w:w="690" w:type="pct"/>
            <w:shd w:val="clear" w:color="auto" w:fill="F4F4F4"/>
            <w:vAlign w:val="center"/>
            <w:hideMark/>
          </w:tcPr>
          <w:p w14:paraId="72EDC68D" w14:textId="77777777" w:rsidR="00AF4C04" w:rsidRPr="00D84D56" w:rsidRDefault="00AF4C04" w:rsidP="00E803CA">
            <w:pPr>
              <w:rPr>
                <w:rFonts w:cs="Arial"/>
                <w:sz w:val="18"/>
                <w:szCs w:val="18"/>
                <w:lang w:val="en-GB"/>
              </w:rPr>
            </w:pPr>
            <w:r w:rsidRPr="00D84D56">
              <w:rPr>
                <w:rFonts w:cs="Arial"/>
                <w:sz w:val="18"/>
                <w:szCs w:val="18"/>
                <w:lang w:val="en-GB"/>
              </w:rPr>
              <w:t>Implementation Date</w:t>
            </w:r>
          </w:p>
        </w:tc>
        <w:tc>
          <w:tcPr>
            <w:tcW w:w="897" w:type="pct"/>
            <w:shd w:val="clear" w:color="auto" w:fill="F4F4F4"/>
            <w:vAlign w:val="center"/>
          </w:tcPr>
          <w:p w14:paraId="26E6F5CD" w14:textId="77777777" w:rsidR="00AF4C04" w:rsidRPr="00D84D56" w:rsidRDefault="00AF4C04" w:rsidP="00E803CA">
            <w:pPr>
              <w:rPr>
                <w:rFonts w:cs="Arial"/>
                <w:sz w:val="18"/>
                <w:szCs w:val="18"/>
                <w:lang w:val="en-GB"/>
              </w:rPr>
            </w:pPr>
            <w:r w:rsidRPr="00D84D56">
              <w:rPr>
                <w:rFonts w:cs="Arial"/>
                <w:sz w:val="18"/>
                <w:szCs w:val="18"/>
                <w:lang w:val="en-GB"/>
              </w:rPr>
              <w:t>Approved by</w:t>
            </w:r>
          </w:p>
        </w:tc>
        <w:tc>
          <w:tcPr>
            <w:tcW w:w="537" w:type="pct"/>
            <w:shd w:val="clear" w:color="auto" w:fill="F4F4F4"/>
            <w:vAlign w:val="center"/>
          </w:tcPr>
          <w:p w14:paraId="05708694" w14:textId="77777777" w:rsidR="00AF4C04" w:rsidRPr="00D84D56" w:rsidRDefault="00AF4C04" w:rsidP="00E803CA">
            <w:pPr>
              <w:rPr>
                <w:rFonts w:cs="Arial"/>
                <w:sz w:val="18"/>
                <w:szCs w:val="18"/>
                <w:lang w:val="en-GB"/>
              </w:rPr>
            </w:pPr>
            <w:r w:rsidRPr="00D84D56">
              <w:rPr>
                <w:rFonts w:cs="Arial"/>
                <w:sz w:val="18"/>
                <w:szCs w:val="18"/>
                <w:lang w:val="en-GB"/>
              </w:rPr>
              <w:t>Last review date</w:t>
            </w:r>
          </w:p>
        </w:tc>
        <w:tc>
          <w:tcPr>
            <w:tcW w:w="529" w:type="pct"/>
            <w:shd w:val="clear" w:color="auto" w:fill="F4F4F4"/>
            <w:vAlign w:val="center"/>
          </w:tcPr>
          <w:p w14:paraId="48E78BB8" w14:textId="77777777" w:rsidR="00AF4C04" w:rsidRPr="00D84D56" w:rsidRDefault="00AF4C04" w:rsidP="00E803CA">
            <w:pPr>
              <w:rPr>
                <w:rFonts w:cs="Arial"/>
                <w:sz w:val="18"/>
                <w:szCs w:val="18"/>
                <w:lang w:val="en-GB"/>
              </w:rPr>
            </w:pPr>
            <w:r w:rsidRPr="00D84D56">
              <w:rPr>
                <w:rFonts w:cs="Arial"/>
                <w:sz w:val="18"/>
                <w:szCs w:val="18"/>
                <w:lang w:val="en-GB"/>
              </w:rPr>
              <w:t>Next review date</w:t>
            </w:r>
          </w:p>
        </w:tc>
      </w:tr>
      <w:tr w:rsidR="00AF4C04" w:rsidRPr="00D84D56" w14:paraId="793461A4" w14:textId="77777777" w:rsidTr="00E803CA">
        <w:trPr>
          <w:tblCellSpacing w:w="15" w:type="dxa"/>
        </w:trPr>
        <w:tc>
          <w:tcPr>
            <w:tcW w:w="353" w:type="pct"/>
            <w:vAlign w:val="center"/>
          </w:tcPr>
          <w:p w14:paraId="5EB959B1" w14:textId="77777777" w:rsidR="00AF4C04" w:rsidRPr="00D84D56" w:rsidRDefault="00AF4C04" w:rsidP="00E803CA">
            <w:pPr>
              <w:rPr>
                <w:rFonts w:cs="Arial"/>
                <w:sz w:val="18"/>
                <w:szCs w:val="18"/>
                <w:lang w:val="en-GB"/>
              </w:rPr>
            </w:pPr>
            <w:r w:rsidRPr="00D84D56">
              <w:rPr>
                <w:rFonts w:cs="Arial"/>
                <w:sz w:val="18"/>
                <w:szCs w:val="18"/>
                <w:lang w:val="en-GB"/>
              </w:rPr>
              <w:t>1</w:t>
            </w:r>
          </w:p>
        </w:tc>
        <w:tc>
          <w:tcPr>
            <w:tcW w:w="1254" w:type="pct"/>
            <w:vAlign w:val="center"/>
          </w:tcPr>
          <w:p w14:paraId="07B2BE6F" w14:textId="77777777" w:rsidR="00AF4C04" w:rsidRPr="00D84D56" w:rsidRDefault="00AF4C04" w:rsidP="00E803CA">
            <w:pPr>
              <w:rPr>
                <w:rFonts w:cs="Arial"/>
                <w:sz w:val="18"/>
                <w:szCs w:val="18"/>
                <w:lang w:val="en-GB"/>
              </w:rPr>
            </w:pPr>
            <w:r w:rsidRPr="00D84D56">
              <w:rPr>
                <w:rFonts w:cs="Arial"/>
                <w:sz w:val="18"/>
                <w:szCs w:val="18"/>
                <w:lang w:val="en-GB"/>
              </w:rPr>
              <w:t>To meet the needs of LBWF</w:t>
            </w:r>
          </w:p>
        </w:tc>
        <w:tc>
          <w:tcPr>
            <w:tcW w:w="620" w:type="pct"/>
            <w:vAlign w:val="center"/>
          </w:tcPr>
          <w:p w14:paraId="6F4067B6" w14:textId="277E09BA" w:rsidR="00AF4C04" w:rsidRPr="00D84D56" w:rsidRDefault="00B4463B" w:rsidP="00E803CA">
            <w:pPr>
              <w:rPr>
                <w:rFonts w:cs="Arial"/>
                <w:sz w:val="18"/>
                <w:szCs w:val="18"/>
                <w:lang w:val="en-GB"/>
              </w:rPr>
            </w:pPr>
            <w:r>
              <w:rPr>
                <w:rFonts w:cs="Arial"/>
                <w:sz w:val="18"/>
                <w:szCs w:val="18"/>
                <w:lang w:val="en-GB"/>
              </w:rPr>
              <w:t>Carmel Murray</w:t>
            </w:r>
          </w:p>
        </w:tc>
        <w:tc>
          <w:tcPr>
            <w:tcW w:w="690" w:type="pct"/>
            <w:vAlign w:val="center"/>
          </w:tcPr>
          <w:p w14:paraId="14D7A496" w14:textId="61F4AC81" w:rsidR="00AF4C04" w:rsidRPr="00D84D56" w:rsidRDefault="00B4463B" w:rsidP="00E803CA">
            <w:pPr>
              <w:rPr>
                <w:rFonts w:cs="Arial"/>
                <w:sz w:val="18"/>
                <w:szCs w:val="18"/>
                <w:lang w:val="en-GB"/>
              </w:rPr>
            </w:pPr>
            <w:r>
              <w:rPr>
                <w:rFonts w:cs="Arial"/>
                <w:sz w:val="18"/>
                <w:szCs w:val="18"/>
                <w:lang w:val="en-GB"/>
              </w:rPr>
              <w:t>December 2017</w:t>
            </w:r>
          </w:p>
        </w:tc>
        <w:tc>
          <w:tcPr>
            <w:tcW w:w="897" w:type="pct"/>
            <w:vAlign w:val="center"/>
          </w:tcPr>
          <w:p w14:paraId="2FD1BE86" w14:textId="77777777" w:rsidR="00AF4C04" w:rsidRPr="00D84D56" w:rsidRDefault="00AF4C04" w:rsidP="00E803CA">
            <w:pPr>
              <w:rPr>
                <w:rFonts w:cs="Arial"/>
                <w:sz w:val="18"/>
                <w:szCs w:val="18"/>
                <w:lang w:val="en-GB"/>
              </w:rPr>
            </w:pPr>
            <w:r w:rsidRPr="00D84D56">
              <w:rPr>
                <w:rFonts w:cs="Arial"/>
                <w:sz w:val="18"/>
                <w:szCs w:val="18"/>
                <w:lang w:val="en-GB"/>
              </w:rPr>
              <w:t xml:space="preserve">Management Board/ Union consultation </w:t>
            </w:r>
          </w:p>
        </w:tc>
        <w:tc>
          <w:tcPr>
            <w:tcW w:w="537" w:type="pct"/>
            <w:vAlign w:val="center"/>
          </w:tcPr>
          <w:p w14:paraId="7D1AE99E" w14:textId="5DEC279C" w:rsidR="00AF4C04" w:rsidRPr="00D84D56" w:rsidRDefault="00B4463B" w:rsidP="00E803CA">
            <w:pPr>
              <w:rPr>
                <w:rFonts w:cs="Arial"/>
                <w:sz w:val="18"/>
                <w:szCs w:val="18"/>
                <w:lang w:val="en-GB"/>
              </w:rPr>
            </w:pPr>
            <w:r>
              <w:rPr>
                <w:rFonts w:cs="Arial"/>
                <w:sz w:val="18"/>
                <w:szCs w:val="18"/>
                <w:lang w:val="en-GB"/>
              </w:rPr>
              <w:t>NEW</w:t>
            </w:r>
          </w:p>
        </w:tc>
        <w:tc>
          <w:tcPr>
            <w:tcW w:w="529" w:type="pct"/>
            <w:vAlign w:val="center"/>
          </w:tcPr>
          <w:p w14:paraId="59B7BF57" w14:textId="0FEBFDCC" w:rsidR="00AF4C04" w:rsidRPr="00D84D56" w:rsidRDefault="00B4463B" w:rsidP="00E803CA">
            <w:pPr>
              <w:rPr>
                <w:rFonts w:cs="Arial"/>
                <w:sz w:val="18"/>
                <w:szCs w:val="18"/>
                <w:lang w:val="en-GB"/>
              </w:rPr>
            </w:pPr>
            <w:r>
              <w:rPr>
                <w:rFonts w:cs="Arial"/>
                <w:sz w:val="18"/>
                <w:szCs w:val="18"/>
                <w:lang w:val="en-GB"/>
              </w:rPr>
              <w:t>December 2019</w:t>
            </w:r>
          </w:p>
        </w:tc>
      </w:tr>
      <w:tr w:rsidR="00AF4C04" w:rsidRPr="00D84D56" w14:paraId="15CEBAD6" w14:textId="77777777" w:rsidTr="00E803CA">
        <w:trPr>
          <w:tblCellSpacing w:w="15" w:type="dxa"/>
        </w:trPr>
        <w:tc>
          <w:tcPr>
            <w:tcW w:w="353" w:type="pct"/>
            <w:vAlign w:val="center"/>
          </w:tcPr>
          <w:p w14:paraId="6992C623" w14:textId="77777777" w:rsidR="00AF4C04" w:rsidRPr="00D84D56" w:rsidRDefault="00AF4C04" w:rsidP="00E803CA">
            <w:pPr>
              <w:rPr>
                <w:rFonts w:cs="Arial"/>
                <w:sz w:val="18"/>
                <w:szCs w:val="18"/>
                <w:lang w:val="en-GB"/>
              </w:rPr>
            </w:pPr>
            <w:r w:rsidRPr="00D84D56">
              <w:rPr>
                <w:rFonts w:cs="Arial"/>
                <w:sz w:val="18"/>
                <w:szCs w:val="18"/>
                <w:lang w:val="en-GB"/>
              </w:rPr>
              <w:t>2</w:t>
            </w:r>
          </w:p>
        </w:tc>
        <w:tc>
          <w:tcPr>
            <w:tcW w:w="1254" w:type="pct"/>
            <w:vAlign w:val="center"/>
          </w:tcPr>
          <w:p w14:paraId="3EC82CC5" w14:textId="77777777" w:rsidR="00AF4C04" w:rsidRPr="00D84D56" w:rsidRDefault="00AF4C04" w:rsidP="00E803CA">
            <w:pPr>
              <w:rPr>
                <w:rFonts w:cs="Arial"/>
                <w:sz w:val="18"/>
                <w:szCs w:val="18"/>
                <w:lang w:val="en-GB"/>
              </w:rPr>
            </w:pPr>
            <w:r w:rsidRPr="00D84D56">
              <w:rPr>
                <w:rFonts w:cs="Arial"/>
                <w:sz w:val="18"/>
                <w:szCs w:val="18"/>
                <w:lang w:val="en-GB"/>
              </w:rPr>
              <w:t>To widen the scope and in anticipation of new legislation</w:t>
            </w:r>
          </w:p>
        </w:tc>
        <w:tc>
          <w:tcPr>
            <w:tcW w:w="620" w:type="pct"/>
            <w:vAlign w:val="center"/>
          </w:tcPr>
          <w:p w14:paraId="206A454E" w14:textId="77777777" w:rsidR="00AF4C04" w:rsidRPr="00D84D56" w:rsidRDefault="00AF4C04" w:rsidP="00E803CA">
            <w:pPr>
              <w:rPr>
                <w:rFonts w:cs="Arial"/>
                <w:sz w:val="18"/>
                <w:szCs w:val="18"/>
                <w:lang w:val="en-GB"/>
              </w:rPr>
            </w:pPr>
            <w:r w:rsidRPr="00D84D56">
              <w:rPr>
                <w:rFonts w:cs="Arial"/>
                <w:sz w:val="18"/>
                <w:szCs w:val="18"/>
                <w:lang w:val="en-GB"/>
              </w:rPr>
              <w:t>Themistoklis Pagoudis</w:t>
            </w:r>
          </w:p>
        </w:tc>
        <w:tc>
          <w:tcPr>
            <w:tcW w:w="690" w:type="pct"/>
            <w:vAlign w:val="center"/>
          </w:tcPr>
          <w:p w14:paraId="27F17C9B" w14:textId="4DB7597A" w:rsidR="00AF4C04" w:rsidRPr="00D84D56" w:rsidRDefault="00982F74" w:rsidP="00E803CA">
            <w:pPr>
              <w:rPr>
                <w:rFonts w:cs="Arial"/>
                <w:color w:val="FF0000"/>
                <w:sz w:val="18"/>
                <w:szCs w:val="18"/>
                <w:highlight w:val="yellow"/>
                <w:lang w:val="en-GB"/>
              </w:rPr>
            </w:pPr>
            <w:r>
              <w:rPr>
                <w:rFonts w:cs="Arial"/>
                <w:sz w:val="18"/>
                <w:szCs w:val="18"/>
                <w:lang w:val="en-GB"/>
              </w:rPr>
              <w:t>December</w:t>
            </w:r>
            <w:r w:rsidR="00B4463B" w:rsidRPr="00B4463B">
              <w:rPr>
                <w:rFonts w:cs="Arial"/>
                <w:sz w:val="18"/>
                <w:szCs w:val="18"/>
                <w:lang w:val="en-GB"/>
              </w:rPr>
              <w:t xml:space="preserve"> 2019</w:t>
            </w:r>
          </w:p>
        </w:tc>
        <w:tc>
          <w:tcPr>
            <w:tcW w:w="897" w:type="pct"/>
            <w:vAlign w:val="center"/>
          </w:tcPr>
          <w:p w14:paraId="764613C8" w14:textId="2A6BF1DF" w:rsidR="00AF4C04" w:rsidRPr="00D84D56" w:rsidRDefault="009859F6" w:rsidP="00E803CA">
            <w:pPr>
              <w:rPr>
                <w:rFonts w:cs="Arial"/>
                <w:color w:val="FF0000"/>
                <w:sz w:val="18"/>
                <w:szCs w:val="18"/>
                <w:highlight w:val="yellow"/>
                <w:lang w:val="en-GB"/>
              </w:rPr>
            </w:pPr>
            <w:r w:rsidRPr="007D519A">
              <w:rPr>
                <w:rFonts w:cs="Arial"/>
                <w:sz w:val="18"/>
                <w:szCs w:val="18"/>
                <w:lang w:val="en-GB"/>
              </w:rPr>
              <w:t>GB/</w:t>
            </w:r>
            <w:r w:rsidR="00942E2C" w:rsidRPr="007D519A">
              <w:rPr>
                <w:rFonts w:cs="Arial"/>
                <w:sz w:val="18"/>
                <w:szCs w:val="18"/>
                <w:lang w:val="en-GB"/>
              </w:rPr>
              <w:t xml:space="preserve"> </w:t>
            </w:r>
            <w:r w:rsidRPr="007D519A">
              <w:rPr>
                <w:rFonts w:cs="Arial"/>
                <w:sz w:val="18"/>
                <w:szCs w:val="18"/>
                <w:lang w:val="en-GB"/>
              </w:rPr>
              <w:t xml:space="preserve">TU consultation </w:t>
            </w:r>
          </w:p>
        </w:tc>
        <w:tc>
          <w:tcPr>
            <w:tcW w:w="537" w:type="pct"/>
            <w:vAlign w:val="center"/>
          </w:tcPr>
          <w:p w14:paraId="7971D8D0" w14:textId="724A508A" w:rsidR="00AF4C04" w:rsidRPr="00B4463B" w:rsidRDefault="00B4463B" w:rsidP="00E803CA">
            <w:pPr>
              <w:rPr>
                <w:rFonts w:cs="Arial"/>
                <w:sz w:val="18"/>
                <w:szCs w:val="18"/>
                <w:lang w:val="en-GB"/>
              </w:rPr>
            </w:pPr>
            <w:r w:rsidRPr="00B4463B">
              <w:rPr>
                <w:rFonts w:cs="Arial"/>
                <w:sz w:val="18"/>
                <w:szCs w:val="18"/>
                <w:lang w:val="en-GB"/>
              </w:rPr>
              <w:t>December 2017</w:t>
            </w:r>
          </w:p>
        </w:tc>
        <w:tc>
          <w:tcPr>
            <w:tcW w:w="529" w:type="pct"/>
            <w:vAlign w:val="center"/>
          </w:tcPr>
          <w:p w14:paraId="1F9798D4" w14:textId="35DB7CCD" w:rsidR="00AF4C04" w:rsidRPr="00B4463B" w:rsidRDefault="00B4463B" w:rsidP="00E803CA">
            <w:pPr>
              <w:rPr>
                <w:rFonts w:cs="Arial"/>
                <w:sz w:val="18"/>
                <w:szCs w:val="18"/>
                <w:lang w:val="en-GB"/>
              </w:rPr>
            </w:pPr>
            <w:r w:rsidRPr="00B4463B">
              <w:rPr>
                <w:rFonts w:cs="Arial"/>
                <w:sz w:val="18"/>
                <w:szCs w:val="18"/>
                <w:lang w:val="en-GB"/>
              </w:rPr>
              <w:t>December 2021</w:t>
            </w:r>
          </w:p>
        </w:tc>
      </w:tr>
      <w:tr w:rsidR="0008424C" w:rsidRPr="00D84D56" w14:paraId="239CF4D2" w14:textId="77777777" w:rsidTr="00E803CA">
        <w:trPr>
          <w:tblCellSpacing w:w="15" w:type="dxa"/>
        </w:trPr>
        <w:tc>
          <w:tcPr>
            <w:tcW w:w="353" w:type="pct"/>
            <w:vAlign w:val="center"/>
          </w:tcPr>
          <w:p w14:paraId="2F219265" w14:textId="5768F05C" w:rsidR="0008424C" w:rsidRPr="00D84D56" w:rsidRDefault="0008424C" w:rsidP="00E803CA">
            <w:pPr>
              <w:rPr>
                <w:rFonts w:cs="Arial"/>
                <w:sz w:val="18"/>
                <w:szCs w:val="18"/>
                <w:lang w:val="en-GB"/>
              </w:rPr>
            </w:pPr>
            <w:r>
              <w:rPr>
                <w:rFonts w:cs="Arial"/>
                <w:sz w:val="18"/>
                <w:szCs w:val="18"/>
                <w:lang w:val="en-GB"/>
              </w:rPr>
              <w:t>3</w:t>
            </w:r>
          </w:p>
        </w:tc>
        <w:tc>
          <w:tcPr>
            <w:tcW w:w="1254" w:type="pct"/>
            <w:vAlign w:val="center"/>
          </w:tcPr>
          <w:p w14:paraId="35F9EC15" w14:textId="0248F78C" w:rsidR="0008424C" w:rsidRPr="00D84D56" w:rsidRDefault="0008424C" w:rsidP="00E803CA">
            <w:pPr>
              <w:rPr>
                <w:rFonts w:cs="Arial"/>
                <w:sz w:val="18"/>
                <w:szCs w:val="18"/>
                <w:lang w:val="en-GB"/>
              </w:rPr>
            </w:pPr>
            <w:r>
              <w:rPr>
                <w:rFonts w:cs="Arial"/>
                <w:sz w:val="18"/>
                <w:szCs w:val="18"/>
                <w:lang w:val="en-GB"/>
              </w:rPr>
              <w:t xml:space="preserve">Removal of </w:t>
            </w:r>
            <w:r w:rsidR="00BF697C">
              <w:rPr>
                <w:rFonts w:cs="Arial"/>
                <w:sz w:val="18"/>
                <w:szCs w:val="18"/>
                <w:lang w:val="en-GB"/>
              </w:rPr>
              <w:t>term</w:t>
            </w:r>
            <w:r>
              <w:rPr>
                <w:rFonts w:cs="Arial"/>
                <w:sz w:val="18"/>
                <w:szCs w:val="18"/>
                <w:lang w:val="en-GB"/>
              </w:rPr>
              <w:t xml:space="preserve"> ‘preferred’ before pronouns</w:t>
            </w:r>
          </w:p>
        </w:tc>
        <w:tc>
          <w:tcPr>
            <w:tcW w:w="620" w:type="pct"/>
            <w:vAlign w:val="center"/>
          </w:tcPr>
          <w:p w14:paraId="4FE2AEBB" w14:textId="480DC957" w:rsidR="0008424C" w:rsidRPr="00D84D56" w:rsidRDefault="0008424C" w:rsidP="00E803CA">
            <w:pPr>
              <w:rPr>
                <w:rFonts w:cs="Arial"/>
                <w:sz w:val="18"/>
                <w:szCs w:val="18"/>
                <w:lang w:val="en-GB"/>
              </w:rPr>
            </w:pPr>
            <w:r w:rsidRPr="00D84D56">
              <w:rPr>
                <w:rFonts w:cs="Arial"/>
                <w:sz w:val="18"/>
                <w:szCs w:val="18"/>
                <w:lang w:val="en-GB"/>
              </w:rPr>
              <w:t>Themistoklis Pagoudis</w:t>
            </w:r>
          </w:p>
        </w:tc>
        <w:tc>
          <w:tcPr>
            <w:tcW w:w="690" w:type="pct"/>
            <w:vAlign w:val="center"/>
          </w:tcPr>
          <w:p w14:paraId="46561240" w14:textId="00E3A1E7" w:rsidR="0008424C" w:rsidRDefault="0008424C" w:rsidP="00E803CA">
            <w:pPr>
              <w:rPr>
                <w:rFonts w:cs="Arial"/>
                <w:sz w:val="18"/>
                <w:szCs w:val="18"/>
                <w:lang w:val="en-GB"/>
              </w:rPr>
            </w:pPr>
            <w:r>
              <w:rPr>
                <w:rFonts w:cs="Arial"/>
                <w:sz w:val="18"/>
                <w:szCs w:val="18"/>
                <w:lang w:val="en-GB"/>
              </w:rPr>
              <w:t>February 2020</w:t>
            </w:r>
          </w:p>
        </w:tc>
        <w:tc>
          <w:tcPr>
            <w:tcW w:w="897" w:type="pct"/>
            <w:vAlign w:val="center"/>
          </w:tcPr>
          <w:p w14:paraId="6F0704AD" w14:textId="70ADD31D" w:rsidR="0008424C" w:rsidRPr="007D519A" w:rsidRDefault="0008424C" w:rsidP="00E803CA">
            <w:pPr>
              <w:rPr>
                <w:rFonts w:cs="Arial"/>
                <w:sz w:val="18"/>
                <w:szCs w:val="18"/>
                <w:lang w:val="en-GB"/>
              </w:rPr>
            </w:pPr>
            <w:r>
              <w:rPr>
                <w:rFonts w:cs="Arial"/>
                <w:sz w:val="18"/>
                <w:szCs w:val="18"/>
                <w:lang w:val="en-GB"/>
              </w:rPr>
              <w:t>N/A</w:t>
            </w:r>
          </w:p>
        </w:tc>
        <w:tc>
          <w:tcPr>
            <w:tcW w:w="537" w:type="pct"/>
            <w:vAlign w:val="center"/>
          </w:tcPr>
          <w:p w14:paraId="7B4B6278" w14:textId="05E328ED" w:rsidR="0008424C" w:rsidRPr="00B4463B" w:rsidRDefault="0008424C" w:rsidP="00E803CA">
            <w:pPr>
              <w:rPr>
                <w:rFonts w:cs="Arial"/>
                <w:sz w:val="18"/>
                <w:szCs w:val="18"/>
                <w:lang w:val="en-GB"/>
              </w:rPr>
            </w:pPr>
            <w:r>
              <w:rPr>
                <w:rFonts w:cs="Arial"/>
                <w:sz w:val="18"/>
                <w:szCs w:val="18"/>
                <w:lang w:val="en-GB"/>
              </w:rPr>
              <w:t>December</w:t>
            </w:r>
            <w:r w:rsidRPr="00B4463B">
              <w:rPr>
                <w:rFonts w:cs="Arial"/>
                <w:sz w:val="18"/>
                <w:szCs w:val="18"/>
                <w:lang w:val="en-GB"/>
              </w:rPr>
              <w:t xml:space="preserve"> 2019</w:t>
            </w:r>
          </w:p>
        </w:tc>
        <w:tc>
          <w:tcPr>
            <w:tcW w:w="529" w:type="pct"/>
            <w:vAlign w:val="center"/>
          </w:tcPr>
          <w:p w14:paraId="160D9F17" w14:textId="05BD73BB" w:rsidR="0008424C" w:rsidRPr="00B4463B" w:rsidRDefault="0008424C" w:rsidP="00E803CA">
            <w:pPr>
              <w:rPr>
                <w:rFonts w:cs="Arial"/>
                <w:sz w:val="18"/>
                <w:szCs w:val="18"/>
                <w:lang w:val="en-GB"/>
              </w:rPr>
            </w:pPr>
            <w:r w:rsidRPr="00B4463B">
              <w:rPr>
                <w:rFonts w:cs="Arial"/>
                <w:sz w:val="18"/>
                <w:szCs w:val="18"/>
                <w:lang w:val="en-GB"/>
              </w:rPr>
              <w:t>December 2021</w:t>
            </w:r>
          </w:p>
        </w:tc>
      </w:tr>
    </w:tbl>
    <w:p w14:paraId="64165A0A" w14:textId="77777777" w:rsidR="00AF4C04" w:rsidRPr="001B6F7F" w:rsidRDefault="00AF4C04" w:rsidP="00AF4C04">
      <w:pPr>
        <w:rPr>
          <w:sz w:val="20"/>
          <w:szCs w:val="20"/>
          <w:lang w:val="en-GB" w:eastAsia="en-US"/>
        </w:rPr>
      </w:pPr>
      <w:r w:rsidRPr="001B6F7F">
        <w:rPr>
          <w:sz w:val="20"/>
          <w:szCs w:val="20"/>
          <w:lang w:val="en-GB" w:eastAsia="en-US"/>
        </w:rPr>
        <w:t>This document can be read in conjunction with:</w:t>
      </w:r>
    </w:p>
    <w:p w14:paraId="4889307C" w14:textId="38CB7BC7" w:rsidR="00AF4C04" w:rsidRPr="001B6F7F" w:rsidRDefault="00AF4C04" w:rsidP="00AF4C04">
      <w:pPr>
        <w:numPr>
          <w:ilvl w:val="0"/>
          <w:numId w:val="3"/>
        </w:numPr>
        <w:rPr>
          <w:sz w:val="20"/>
          <w:szCs w:val="20"/>
          <w:lang w:val="en-GB" w:eastAsia="en-US"/>
        </w:rPr>
      </w:pPr>
      <w:r w:rsidRPr="001B6F7F">
        <w:rPr>
          <w:sz w:val="20"/>
          <w:szCs w:val="20"/>
          <w:lang w:val="en-GB" w:eastAsia="en-US"/>
        </w:rPr>
        <w:t xml:space="preserve">the ‘Equality’ section of the Staff </w:t>
      </w:r>
      <w:hyperlink r:id="rId12" w:history="1">
        <w:r w:rsidRPr="001B6F7F">
          <w:rPr>
            <w:rStyle w:val="Hyperlink"/>
            <w:sz w:val="20"/>
            <w:szCs w:val="20"/>
            <w:lang w:val="en-GB" w:eastAsia="en-US"/>
          </w:rPr>
          <w:t>Code of Conduct</w:t>
        </w:r>
      </w:hyperlink>
      <w:r w:rsidRPr="001B6F7F">
        <w:rPr>
          <w:sz w:val="20"/>
          <w:szCs w:val="20"/>
          <w:lang w:val="en-GB" w:eastAsia="en-US"/>
        </w:rPr>
        <w:t>;</w:t>
      </w:r>
    </w:p>
    <w:p w14:paraId="7158434D" w14:textId="26DAB0E4" w:rsidR="00CD06BF" w:rsidRPr="001B6F7F" w:rsidRDefault="00E64CA2" w:rsidP="00AF4C04">
      <w:pPr>
        <w:numPr>
          <w:ilvl w:val="0"/>
          <w:numId w:val="3"/>
        </w:numPr>
        <w:rPr>
          <w:sz w:val="20"/>
          <w:szCs w:val="20"/>
          <w:lang w:val="en-GB" w:eastAsia="en-US"/>
        </w:rPr>
      </w:pPr>
      <w:hyperlink r:id="rId13" w:history="1">
        <w:r w:rsidR="00CD06BF" w:rsidRPr="001B6F7F">
          <w:rPr>
            <w:rStyle w:val="Hyperlink"/>
            <w:sz w:val="20"/>
            <w:szCs w:val="20"/>
            <w:lang w:val="en-GB" w:eastAsia="en-US"/>
          </w:rPr>
          <w:t>DBS guidance</w:t>
        </w:r>
      </w:hyperlink>
      <w:r w:rsidR="00CD06BF" w:rsidRPr="001B6F7F">
        <w:rPr>
          <w:sz w:val="20"/>
          <w:szCs w:val="20"/>
          <w:lang w:val="en-GB" w:eastAsia="en-US"/>
        </w:rPr>
        <w:t xml:space="preserve"> </w:t>
      </w:r>
    </w:p>
    <w:p w14:paraId="04668853" w14:textId="5E202470" w:rsidR="00CD06BF" w:rsidRPr="001B6F7F" w:rsidRDefault="00E64CA2" w:rsidP="00AF4C04">
      <w:pPr>
        <w:numPr>
          <w:ilvl w:val="0"/>
          <w:numId w:val="3"/>
        </w:numPr>
        <w:rPr>
          <w:sz w:val="20"/>
          <w:szCs w:val="20"/>
          <w:lang w:val="en-GB" w:eastAsia="en-US"/>
        </w:rPr>
      </w:pPr>
      <w:hyperlink r:id="rId14" w:history="1">
        <w:r w:rsidR="00CD06BF" w:rsidRPr="001B6F7F">
          <w:rPr>
            <w:rStyle w:val="Hyperlink"/>
            <w:sz w:val="20"/>
            <w:szCs w:val="20"/>
            <w:lang w:val="en-GB" w:eastAsia="en-US"/>
          </w:rPr>
          <w:t>Managing Sickness Policy and Procedure</w:t>
        </w:r>
      </w:hyperlink>
      <w:r w:rsidR="00CD06BF" w:rsidRPr="001B6F7F">
        <w:rPr>
          <w:sz w:val="20"/>
          <w:szCs w:val="20"/>
          <w:lang w:val="en-GB" w:eastAsia="en-US"/>
        </w:rPr>
        <w:t xml:space="preserve"> </w:t>
      </w:r>
    </w:p>
    <w:p w14:paraId="5215F2BE" w14:textId="77777777" w:rsidR="00AF4C04" w:rsidRPr="001B6F7F" w:rsidRDefault="00AF4C04" w:rsidP="00AF4C04">
      <w:pPr>
        <w:numPr>
          <w:ilvl w:val="0"/>
          <w:numId w:val="3"/>
        </w:numPr>
        <w:rPr>
          <w:sz w:val="20"/>
          <w:szCs w:val="20"/>
          <w:lang w:val="en-GB" w:eastAsia="en-US"/>
        </w:rPr>
      </w:pPr>
      <w:r w:rsidRPr="001B6F7F">
        <w:rPr>
          <w:sz w:val="20"/>
          <w:szCs w:val="20"/>
          <w:lang w:val="en-GB" w:eastAsia="en-US"/>
        </w:rPr>
        <w:t xml:space="preserve">the </w:t>
      </w:r>
      <w:hyperlink r:id="rId15" w:history="1">
        <w:r w:rsidRPr="001B6F7F">
          <w:rPr>
            <w:rStyle w:val="Hyperlink"/>
            <w:sz w:val="20"/>
            <w:szCs w:val="20"/>
            <w:lang w:val="en-GB" w:eastAsia="en-US"/>
          </w:rPr>
          <w:t>Equal Opportunity</w:t>
        </w:r>
      </w:hyperlink>
      <w:r w:rsidRPr="001B6F7F">
        <w:rPr>
          <w:sz w:val="20"/>
          <w:szCs w:val="20"/>
          <w:lang w:val="en-GB" w:eastAsia="en-US"/>
        </w:rPr>
        <w:t xml:space="preserve"> policy statement and </w:t>
      </w:r>
      <w:hyperlink r:id="rId16" w:history="1">
        <w:r w:rsidRPr="001B6F7F">
          <w:rPr>
            <w:rStyle w:val="Hyperlink"/>
            <w:sz w:val="20"/>
            <w:szCs w:val="20"/>
            <w:lang w:val="en-GB" w:eastAsia="en-US"/>
          </w:rPr>
          <w:t>Public Sector Duty and Equality Act 2010</w:t>
        </w:r>
      </w:hyperlink>
      <w:r w:rsidRPr="001B6F7F">
        <w:rPr>
          <w:sz w:val="20"/>
          <w:szCs w:val="20"/>
          <w:lang w:val="en-GB" w:eastAsia="en-US"/>
        </w:rPr>
        <w:t xml:space="preserve"> guidance;</w:t>
      </w:r>
    </w:p>
    <w:p w14:paraId="2F0E39DE" w14:textId="77777777" w:rsidR="00AF4C04" w:rsidRPr="001B6F7F" w:rsidRDefault="00AF4C04" w:rsidP="00AF4C04">
      <w:pPr>
        <w:numPr>
          <w:ilvl w:val="0"/>
          <w:numId w:val="3"/>
        </w:numPr>
        <w:rPr>
          <w:sz w:val="20"/>
          <w:szCs w:val="20"/>
          <w:lang w:val="en-GB" w:eastAsia="en-US"/>
        </w:rPr>
      </w:pPr>
      <w:r w:rsidRPr="001B6F7F">
        <w:rPr>
          <w:sz w:val="20"/>
          <w:szCs w:val="20"/>
          <w:lang w:val="en-GB" w:eastAsia="en-US"/>
        </w:rPr>
        <w:t xml:space="preserve">the </w:t>
      </w:r>
      <w:hyperlink r:id="rId17" w:history="1">
        <w:r w:rsidRPr="001B6F7F">
          <w:rPr>
            <w:rStyle w:val="Hyperlink"/>
            <w:sz w:val="20"/>
            <w:szCs w:val="20"/>
            <w:lang w:val="en-GB" w:eastAsia="en-US"/>
          </w:rPr>
          <w:t>Fairness at Work</w:t>
        </w:r>
      </w:hyperlink>
      <w:r w:rsidRPr="001B6F7F">
        <w:rPr>
          <w:sz w:val="20"/>
          <w:szCs w:val="20"/>
          <w:lang w:val="en-GB" w:eastAsia="en-US"/>
        </w:rPr>
        <w:t xml:space="preserve"> procedure and the </w:t>
      </w:r>
      <w:hyperlink r:id="rId18" w:history="1">
        <w:r w:rsidRPr="001B6F7F">
          <w:rPr>
            <w:rStyle w:val="Hyperlink"/>
            <w:sz w:val="20"/>
            <w:szCs w:val="20"/>
            <w:lang w:val="en-GB" w:eastAsia="en-US"/>
          </w:rPr>
          <w:t>Anti-harassment and bullying</w:t>
        </w:r>
      </w:hyperlink>
      <w:r w:rsidRPr="001B6F7F">
        <w:rPr>
          <w:sz w:val="20"/>
          <w:szCs w:val="20"/>
          <w:lang w:val="en-GB" w:eastAsia="en-US"/>
        </w:rPr>
        <w:t xml:space="preserve"> policy and standard;</w:t>
      </w:r>
    </w:p>
    <w:p w14:paraId="4FCEC121" w14:textId="77777777" w:rsidR="00AF4C04" w:rsidRPr="001B6F7F" w:rsidRDefault="00AF4C04" w:rsidP="00AF4C04">
      <w:pPr>
        <w:numPr>
          <w:ilvl w:val="0"/>
          <w:numId w:val="3"/>
        </w:numPr>
        <w:rPr>
          <w:sz w:val="20"/>
          <w:szCs w:val="20"/>
          <w:lang w:val="en-GB" w:eastAsia="en-US"/>
        </w:rPr>
      </w:pPr>
      <w:r w:rsidRPr="001B6F7F">
        <w:rPr>
          <w:sz w:val="20"/>
          <w:szCs w:val="20"/>
          <w:lang w:val="en-GB" w:eastAsia="en-US"/>
        </w:rPr>
        <w:t xml:space="preserve">the </w:t>
      </w:r>
      <w:hyperlink r:id="rId19" w:history="1">
        <w:r w:rsidRPr="001B6F7F">
          <w:rPr>
            <w:rStyle w:val="Hyperlink"/>
            <w:sz w:val="20"/>
            <w:szCs w:val="20"/>
            <w:lang w:val="en-GB" w:eastAsia="en-US"/>
          </w:rPr>
          <w:t>Conduct and Discipline</w:t>
        </w:r>
      </w:hyperlink>
      <w:r w:rsidRPr="001B6F7F">
        <w:rPr>
          <w:sz w:val="20"/>
          <w:szCs w:val="20"/>
          <w:lang w:val="en-GB" w:eastAsia="en-US"/>
        </w:rPr>
        <w:t xml:space="preserve"> procedure; and</w:t>
      </w:r>
    </w:p>
    <w:p w14:paraId="49D3F3C4" w14:textId="77777777" w:rsidR="00AF4C04" w:rsidRPr="001B6F7F" w:rsidRDefault="00AF4C04" w:rsidP="00AF4C04">
      <w:pPr>
        <w:numPr>
          <w:ilvl w:val="0"/>
          <w:numId w:val="3"/>
        </w:numPr>
        <w:rPr>
          <w:sz w:val="20"/>
          <w:szCs w:val="20"/>
          <w:lang w:val="en-GB" w:eastAsia="en-US"/>
        </w:rPr>
      </w:pPr>
      <w:r w:rsidRPr="001B6F7F">
        <w:rPr>
          <w:sz w:val="20"/>
          <w:szCs w:val="20"/>
          <w:lang w:val="en-GB" w:eastAsia="en-US"/>
        </w:rPr>
        <w:t xml:space="preserve">the </w:t>
      </w:r>
      <w:hyperlink r:id="rId20" w:history="1">
        <w:r w:rsidRPr="001B6F7F">
          <w:rPr>
            <w:rStyle w:val="Hyperlink"/>
            <w:sz w:val="20"/>
            <w:szCs w:val="20"/>
            <w:lang w:val="en-GB" w:eastAsia="en-US"/>
          </w:rPr>
          <w:t>Whistleblowing</w:t>
        </w:r>
      </w:hyperlink>
      <w:r w:rsidRPr="001B6F7F">
        <w:rPr>
          <w:sz w:val="20"/>
          <w:szCs w:val="20"/>
          <w:lang w:val="en-GB" w:eastAsia="en-US"/>
        </w:rPr>
        <w:t xml:space="preserve"> policy.</w:t>
      </w:r>
    </w:p>
    <w:p w14:paraId="633B8BCE" w14:textId="77777777" w:rsidR="00AF4C04" w:rsidRPr="00D84D56" w:rsidRDefault="00AF4C04" w:rsidP="00065239">
      <w:pPr>
        <w:jc w:val="both"/>
        <w:rPr>
          <w:rFonts w:cs="Arial"/>
          <w:b/>
          <w:sz w:val="20"/>
          <w:szCs w:val="20"/>
          <w:lang w:val="en-GB"/>
        </w:rPr>
      </w:pPr>
    </w:p>
    <w:p w14:paraId="553D83CC" w14:textId="72709C4C" w:rsidR="00BF4725" w:rsidRPr="00D84D56" w:rsidRDefault="006923FB" w:rsidP="00BF4725">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
          <w:sz w:val="20"/>
          <w:szCs w:val="20"/>
          <w:lang w:val="en-GB"/>
        </w:rPr>
      </w:pPr>
      <w:r w:rsidRPr="00D84D56">
        <w:rPr>
          <w:rFonts w:cs="Arial"/>
          <w:b/>
          <w:sz w:val="20"/>
          <w:szCs w:val="20"/>
          <w:lang w:val="en-GB"/>
        </w:rPr>
        <w:t xml:space="preserve">If you have any queries regarding the content of this policy and procedure, please contact HR on </w:t>
      </w:r>
      <w:hyperlink r:id="rId21" w:history="1">
        <w:r w:rsidRPr="00D84D56">
          <w:rPr>
            <w:rStyle w:val="Hyperlink"/>
            <w:rFonts w:cs="Arial"/>
            <w:b/>
            <w:sz w:val="20"/>
            <w:szCs w:val="20"/>
            <w:lang w:val="en-GB"/>
          </w:rPr>
          <w:t>HR@walthamforest.gov.uk</w:t>
        </w:r>
      </w:hyperlink>
      <w:r w:rsidRPr="00D84D56">
        <w:rPr>
          <w:rFonts w:cs="Arial"/>
          <w:b/>
          <w:sz w:val="20"/>
          <w:szCs w:val="20"/>
          <w:lang w:val="en-GB"/>
        </w:rPr>
        <w:t xml:space="preserve"> the HR team will be able to give advice and practical guidance on this process as required.</w:t>
      </w:r>
    </w:p>
    <w:p w14:paraId="33F6195A" w14:textId="6B323CB4" w:rsidR="00A70CFD" w:rsidRPr="00D84D56" w:rsidRDefault="00A70CFD" w:rsidP="001E0D51">
      <w:pPr>
        <w:pStyle w:val="Heading1"/>
        <w:rPr>
          <w:lang w:val="en-GB"/>
        </w:rPr>
      </w:pPr>
      <w:r w:rsidRPr="00D84D56">
        <w:rPr>
          <w:lang w:val="en-GB"/>
        </w:rPr>
        <w:br w:type="page"/>
      </w:r>
      <w:r w:rsidR="00A6463A">
        <w:rPr>
          <w:lang w:val="en-GB"/>
        </w:rPr>
        <w:lastRenderedPageBreak/>
        <w:t xml:space="preserve"> </w:t>
      </w:r>
      <w:r w:rsidR="00A6463A">
        <w:rPr>
          <w:lang w:val="en-GB"/>
        </w:rPr>
        <w:tab/>
      </w:r>
      <w:bookmarkStart w:id="0" w:name="_Toc19273732"/>
      <w:r w:rsidR="007744AD" w:rsidRPr="00D84D56">
        <w:rPr>
          <w:lang w:val="en-GB"/>
        </w:rPr>
        <w:t>Introduction</w:t>
      </w:r>
      <w:bookmarkEnd w:id="0"/>
    </w:p>
    <w:p w14:paraId="00B4F1FB" w14:textId="2D8D09D5" w:rsidR="00BF296B" w:rsidRPr="003741EE" w:rsidRDefault="003204BB" w:rsidP="00E9012F">
      <w:pPr>
        <w:rPr>
          <w:b/>
          <w:lang w:val="en-GB"/>
        </w:rPr>
      </w:pPr>
      <w:r w:rsidRPr="003741EE">
        <w:rPr>
          <w:lang w:val="en-GB"/>
        </w:rPr>
        <w:t xml:space="preserve">This </w:t>
      </w:r>
      <w:r w:rsidRPr="00E9012F">
        <w:rPr>
          <w:szCs w:val="22"/>
          <w:lang w:val="en-GB" w:eastAsia="en-US"/>
        </w:rPr>
        <w:t>document</w:t>
      </w:r>
      <w:r w:rsidRPr="003741EE">
        <w:rPr>
          <w:lang w:val="en-GB"/>
        </w:rPr>
        <w:t xml:space="preserve"> </w:t>
      </w:r>
      <w:r w:rsidR="00BF296B" w:rsidRPr="003741EE">
        <w:rPr>
          <w:lang w:val="en-GB"/>
        </w:rPr>
        <w:t>explore</w:t>
      </w:r>
      <w:r w:rsidR="00A718C3" w:rsidRPr="003741EE">
        <w:rPr>
          <w:lang w:val="en-GB"/>
        </w:rPr>
        <w:t>s</w:t>
      </w:r>
      <w:r w:rsidR="00BF296B" w:rsidRPr="003741EE">
        <w:rPr>
          <w:lang w:val="en-GB"/>
        </w:rPr>
        <w:t xml:space="preserve"> and address</w:t>
      </w:r>
      <w:r w:rsidR="00A718C3" w:rsidRPr="003741EE">
        <w:rPr>
          <w:lang w:val="en-GB"/>
        </w:rPr>
        <w:t>es</w:t>
      </w:r>
      <w:r w:rsidRPr="003741EE">
        <w:rPr>
          <w:lang w:val="en-GB"/>
        </w:rPr>
        <w:t xml:space="preserve"> issues around</w:t>
      </w:r>
      <w:r w:rsidR="00BF296B" w:rsidRPr="003741EE">
        <w:rPr>
          <w:lang w:val="en-GB"/>
        </w:rPr>
        <w:t>:</w:t>
      </w:r>
    </w:p>
    <w:p w14:paraId="38B3CEFA" w14:textId="77777777" w:rsidR="00BF296B" w:rsidRPr="00D84D56" w:rsidRDefault="00BF296B" w:rsidP="00EE4CB7">
      <w:pPr>
        <w:pStyle w:val="ListParagraph"/>
        <w:numPr>
          <w:ilvl w:val="0"/>
          <w:numId w:val="5"/>
        </w:numPr>
        <w:ind w:left="567" w:hanging="567"/>
        <w:rPr>
          <w:szCs w:val="22"/>
          <w:lang w:val="en-GB" w:eastAsia="en-US"/>
        </w:rPr>
      </w:pPr>
      <w:r w:rsidRPr="00D84D56">
        <w:rPr>
          <w:szCs w:val="22"/>
          <w:lang w:val="en-GB" w:eastAsia="en-US"/>
        </w:rPr>
        <w:t xml:space="preserve">gender identity and diversity (trans, non-binary, gender-fluid etc.) </w:t>
      </w:r>
      <w:r w:rsidR="003204BB" w:rsidRPr="00D84D56">
        <w:rPr>
          <w:szCs w:val="22"/>
          <w:lang w:val="en-GB" w:eastAsia="en-US"/>
        </w:rPr>
        <w:t>and</w:t>
      </w:r>
    </w:p>
    <w:p w14:paraId="65181E69" w14:textId="77777777" w:rsidR="00BF296B" w:rsidRPr="00D84D56" w:rsidRDefault="003204BB" w:rsidP="00EE4CB7">
      <w:pPr>
        <w:pStyle w:val="ListParagraph"/>
        <w:numPr>
          <w:ilvl w:val="0"/>
          <w:numId w:val="5"/>
        </w:numPr>
        <w:ind w:left="567" w:hanging="567"/>
        <w:rPr>
          <w:szCs w:val="22"/>
          <w:lang w:val="en-GB" w:eastAsia="en-US"/>
        </w:rPr>
      </w:pPr>
      <w:r w:rsidRPr="00D84D56">
        <w:rPr>
          <w:szCs w:val="22"/>
          <w:lang w:val="en-GB" w:eastAsia="en-US"/>
        </w:rPr>
        <w:t>variations in sex characteristics</w:t>
      </w:r>
      <w:r w:rsidR="00BF296B" w:rsidRPr="00D84D56">
        <w:rPr>
          <w:szCs w:val="22"/>
          <w:lang w:val="en-GB" w:eastAsia="en-US"/>
        </w:rPr>
        <w:t xml:space="preserve"> (intersex condition)</w:t>
      </w:r>
    </w:p>
    <w:p w14:paraId="695387D2" w14:textId="530BAE4A" w:rsidR="00A718C3" w:rsidRPr="00D84D56" w:rsidRDefault="00A718C3" w:rsidP="00A718C3">
      <w:pPr>
        <w:rPr>
          <w:rFonts w:cs="Arial"/>
          <w:lang w:val="en-GB"/>
        </w:rPr>
      </w:pPr>
      <w:r w:rsidRPr="00D84D56">
        <w:rPr>
          <w:szCs w:val="22"/>
          <w:lang w:val="en-GB" w:eastAsia="en-US"/>
        </w:rPr>
        <w:t>in relation to</w:t>
      </w:r>
      <w:r w:rsidR="001674F7" w:rsidRPr="00D84D56">
        <w:rPr>
          <w:szCs w:val="22"/>
          <w:lang w:val="en-GB" w:eastAsia="en-US"/>
        </w:rPr>
        <w:t xml:space="preserve"> </w:t>
      </w:r>
      <w:r w:rsidR="00DF305F" w:rsidRPr="00D84D56">
        <w:rPr>
          <w:szCs w:val="22"/>
          <w:lang w:val="en-GB" w:eastAsia="en-US"/>
        </w:rPr>
        <w:t xml:space="preserve">the Council’s </w:t>
      </w:r>
      <w:r w:rsidR="00942E2C">
        <w:rPr>
          <w:szCs w:val="22"/>
          <w:lang w:val="en-GB" w:eastAsia="en-US"/>
        </w:rPr>
        <w:t xml:space="preserve">residents/ </w:t>
      </w:r>
      <w:r w:rsidR="003204BB" w:rsidRPr="00D84D56">
        <w:rPr>
          <w:szCs w:val="22"/>
          <w:lang w:val="en-GB" w:eastAsia="en-US"/>
        </w:rPr>
        <w:t>s</w:t>
      </w:r>
      <w:r w:rsidR="00547CD2" w:rsidRPr="00D84D56">
        <w:rPr>
          <w:szCs w:val="22"/>
          <w:lang w:val="en-GB" w:eastAsia="en-US"/>
        </w:rPr>
        <w:t>ervice users</w:t>
      </w:r>
      <w:r w:rsidR="00DF305F" w:rsidRPr="00D84D56">
        <w:rPr>
          <w:szCs w:val="22"/>
          <w:lang w:val="en-GB" w:eastAsia="en-US"/>
        </w:rPr>
        <w:t>,</w:t>
      </w:r>
      <w:r w:rsidR="00547CD2" w:rsidRPr="00D84D56">
        <w:rPr>
          <w:szCs w:val="22"/>
          <w:lang w:val="en-GB" w:eastAsia="en-US"/>
        </w:rPr>
        <w:t xml:space="preserve"> staff</w:t>
      </w:r>
      <w:r w:rsidR="00DF305F" w:rsidRPr="00D84D56">
        <w:rPr>
          <w:szCs w:val="22"/>
          <w:lang w:val="en-GB" w:eastAsia="en-US"/>
        </w:rPr>
        <w:t>, and job applicants</w:t>
      </w:r>
      <w:r w:rsidR="001674F7" w:rsidRPr="00D84D56">
        <w:rPr>
          <w:szCs w:val="22"/>
          <w:lang w:val="en-GB" w:eastAsia="en-US"/>
        </w:rPr>
        <w:t>.</w:t>
      </w:r>
      <w:r w:rsidRPr="00D84D56">
        <w:rPr>
          <w:rFonts w:cs="Arial"/>
          <w:lang w:val="en-GB"/>
        </w:rPr>
        <w:t xml:space="preserve"> It aspires to provide protections beyond legal compliance and are in anticipation of the reform of the Gender Recognition Act by recognising that the current legislation does not fully cover all issues trans and other gender identities or intersex people face.</w:t>
      </w:r>
    </w:p>
    <w:p w14:paraId="448E6FC9" w14:textId="77777777" w:rsidR="003D68E7" w:rsidRPr="00D84D56" w:rsidRDefault="003D68E7" w:rsidP="00547CD2">
      <w:pPr>
        <w:pStyle w:val="ListParagraph"/>
        <w:ind w:left="0"/>
        <w:rPr>
          <w:szCs w:val="22"/>
          <w:lang w:val="en-GB" w:eastAsia="en-US"/>
        </w:rPr>
      </w:pPr>
    </w:p>
    <w:p w14:paraId="27634C76" w14:textId="77777777" w:rsidR="001C15D9" w:rsidRPr="00D84D56" w:rsidRDefault="001C15D9" w:rsidP="001674F7">
      <w:pPr>
        <w:rPr>
          <w:szCs w:val="22"/>
          <w:lang w:val="en-GB" w:eastAsia="en-US"/>
        </w:rPr>
      </w:pPr>
      <w:r w:rsidRPr="00D84D56">
        <w:rPr>
          <w:szCs w:val="22"/>
          <w:lang w:val="en-GB" w:eastAsia="en-US"/>
        </w:rPr>
        <w:t>T</w:t>
      </w:r>
      <w:r w:rsidR="00CF7547" w:rsidRPr="00D84D56">
        <w:rPr>
          <w:szCs w:val="22"/>
          <w:lang w:val="en-GB" w:eastAsia="en-US"/>
        </w:rPr>
        <w:t>he document</w:t>
      </w:r>
      <w:r w:rsidRPr="00D84D56">
        <w:rPr>
          <w:szCs w:val="22"/>
          <w:lang w:val="en-GB" w:eastAsia="en-US"/>
        </w:rPr>
        <w:t xml:space="preserve"> refers to </w:t>
      </w:r>
      <w:r w:rsidR="00CF7547" w:rsidRPr="00D84D56">
        <w:rPr>
          <w:szCs w:val="22"/>
          <w:lang w:val="en-GB" w:eastAsia="en-US"/>
        </w:rPr>
        <w:t xml:space="preserve">legal requirements </w:t>
      </w:r>
      <w:r w:rsidRPr="00D84D56">
        <w:rPr>
          <w:szCs w:val="22"/>
          <w:lang w:val="en-GB" w:eastAsia="en-US"/>
        </w:rPr>
        <w:t>as well as to</w:t>
      </w:r>
      <w:r w:rsidR="00CF7547" w:rsidRPr="00D84D56">
        <w:rPr>
          <w:szCs w:val="22"/>
          <w:lang w:val="en-GB" w:eastAsia="en-US"/>
        </w:rPr>
        <w:t xml:space="preserve"> what the Council considers to be good practice</w:t>
      </w:r>
      <w:r w:rsidRPr="00D84D56">
        <w:rPr>
          <w:szCs w:val="22"/>
          <w:lang w:val="en-GB" w:eastAsia="en-US"/>
        </w:rPr>
        <w:t>, and, therefore, what the Council expects from its staff</w:t>
      </w:r>
      <w:r w:rsidR="00CF7547" w:rsidRPr="00D84D56">
        <w:rPr>
          <w:szCs w:val="22"/>
          <w:lang w:val="en-GB" w:eastAsia="en-US"/>
        </w:rPr>
        <w:t>.</w:t>
      </w:r>
      <w:r w:rsidRPr="00D84D56">
        <w:rPr>
          <w:szCs w:val="22"/>
          <w:lang w:val="en-GB" w:eastAsia="en-US"/>
        </w:rPr>
        <w:t xml:space="preserve"> Naturally, no guidance or policy can fully capture the complexity and</w:t>
      </w:r>
      <w:r w:rsidR="00A718C3" w:rsidRPr="00D84D56">
        <w:rPr>
          <w:szCs w:val="22"/>
          <w:lang w:val="en-GB" w:eastAsia="en-US"/>
        </w:rPr>
        <w:t>, at times,</w:t>
      </w:r>
      <w:r w:rsidRPr="00D84D56">
        <w:rPr>
          <w:szCs w:val="22"/>
          <w:lang w:val="en-GB" w:eastAsia="en-US"/>
        </w:rPr>
        <w:t xml:space="preserve"> fluidity of human experience, anatomy and physiology, especially when it comes to the experience of gender identity and expression or the physical</w:t>
      </w:r>
      <w:r w:rsidR="00A718C3" w:rsidRPr="00D84D56">
        <w:rPr>
          <w:szCs w:val="22"/>
          <w:lang w:val="en-GB" w:eastAsia="en-US"/>
        </w:rPr>
        <w:t>—</w:t>
      </w:r>
      <w:r w:rsidRPr="00D84D56">
        <w:rPr>
          <w:szCs w:val="22"/>
          <w:lang w:val="en-GB" w:eastAsia="en-US"/>
        </w:rPr>
        <w:t>sex</w:t>
      </w:r>
      <w:r w:rsidR="00A718C3" w:rsidRPr="00D84D56">
        <w:rPr>
          <w:szCs w:val="22"/>
          <w:lang w:val="en-GB" w:eastAsia="en-US"/>
        </w:rPr>
        <w:t>—</w:t>
      </w:r>
      <w:r w:rsidRPr="00D84D56">
        <w:rPr>
          <w:szCs w:val="22"/>
          <w:lang w:val="en-GB" w:eastAsia="en-US"/>
        </w:rPr>
        <w:t>characteristics</w:t>
      </w:r>
      <w:r w:rsidR="00A718C3" w:rsidRPr="00D84D56">
        <w:rPr>
          <w:szCs w:val="22"/>
          <w:lang w:val="en-GB" w:eastAsia="en-US"/>
        </w:rPr>
        <w:t xml:space="preserve">, which have always been </w:t>
      </w:r>
      <w:r w:rsidRPr="00D84D56">
        <w:rPr>
          <w:szCs w:val="22"/>
          <w:lang w:val="en-GB" w:eastAsia="en-US"/>
        </w:rPr>
        <w:t>diverse</w:t>
      </w:r>
      <w:r w:rsidR="00A718C3" w:rsidRPr="00D84D56">
        <w:rPr>
          <w:szCs w:val="22"/>
          <w:lang w:val="en-GB" w:eastAsia="en-US"/>
        </w:rPr>
        <w:t xml:space="preserve">, personal, </w:t>
      </w:r>
      <w:r w:rsidRPr="00D84D56">
        <w:rPr>
          <w:szCs w:val="22"/>
          <w:lang w:val="en-GB" w:eastAsia="en-US"/>
        </w:rPr>
        <w:t>and fluid both across human history and within a person’s life</w:t>
      </w:r>
      <w:r w:rsidR="00A718C3" w:rsidRPr="00D84D56">
        <w:rPr>
          <w:szCs w:val="22"/>
          <w:lang w:val="en-GB" w:eastAsia="en-US"/>
        </w:rPr>
        <w:t>. Therefore, a</w:t>
      </w:r>
      <w:r w:rsidRPr="00D84D56">
        <w:rPr>
          <w:szCs w:val="22"/>
          <w:lang w:val="en-GB" w:eastAsia="en-US"/>
        </w:rPr>
        <w:t xml:space="preserve">lthough in order to govern workplace affairs consistently and in compliance with the UK legislation a written document is </w:t>
      </w:r>
      <w:r w:rsidR="00A718C3" w:rsidRPr="00D84D56">
        <w:rPr>
          <w:szCs w:val="22"/>
          <w:lang w:val="en-GB" w:eastAsia="en-US"/>
        </w:rPr>
        <w:t>useful</w:t>
      </w:r>
      <w:r w:rsidRPr="00D84D56">
        <w:rPr>
          <w:szCs w:val="22"/>
          <w:lang w:val="en-GB" w:eastAsia="en-US"/>
        </w:rPr>
        <w:t>, it is recognised that the wonderful diversity and fluidity of the matters this document explores will not be captured in their entirety.</w:t>
      </w:r>
    </w:p>
    <w:p w14:paraId="27790790" w14:textId="3313DC1B" w:rsidR="001C15D9" w:rsidRDefault="001C15D9" w:rsidP="001674F7">
      <w:pPr>
        <w:rPr>
          <w:szCs w:val="22"/>
          <w:lang w:val="en-GB" w:eastAsia="en-US"/>
        </w:rPr>
      </w:pPr>
    </w:p>
    <w:p w14:paraId="1BEFBC85" w14:textId="20904B57" w:rsidR="003842AC" w:rsidRDefault="00823AEF" w:rsidP="001674F7">
      <w:pPr>
        <w:rPr>
          <w:szCs w:val="22"/>
          <w:lang w:val="en-GB" w:eastAsia="en-US"/>
        </w:rPr>
      </w:pPr>
      <w:r>
        <w:rPr>
          <w:szCs w:val="22"/>
          <w:lang w:val="en-GB" w:eastAsia="en-US"/>
        </w:rPr>
        <w:t>The Council has sought expert advice from known LGBTQ and Intersex organisations and it important to note that</w:t>
      </w:r>
      <w:r w:rsidR="003842AC">
        <w:rPr>
          <w:szCs w:val="22"/>
          <w:lang w:val="en-GB" w:eastAsia="en-US"/>
        </w:rPr>
        <w:t xml:space="preserve"> </w:t>
      </w:r>
      <w:r w:rsidR="006A308B">
        <w:rPr>
          <w:szCs w:val="22"/>
          <w:lang w:val="en-GB" w:eastAsia="en-US"/>
        </w:rPr>
        <w:t>the subject of this document is a continually evolving one, in a changing cultural and legal environment (</w:t>
      </w:r>
      <w:r w:rsidR="006A308B" w:rsidRPr="006A308B">
        <w:rPr>
          <w:szCs w:val="22"/>
          <w:lang w:val="en-GB" w:eastAsia="en-US"/>
        </w:rPr>
        <w:t xml:space="preserve">the </w:t>
      </w:r>
      <w:r w:rsidR="006A308B">
        <w:rPr>
          <w:szCs w:val="22"/>
          <w:lang w:val="en-GB" w:eastAsia="en-US"/>
        </w:rPr>
        <w:t xml:space="preserve">UK </w:t>
      </w:r>
      <w:r w:rsidR="006A308B" w:rsidRPr="006A308B">
        <w:rPr>
          <w:szCs w:val="22"/>
          <w:lang w:val="en-GB" w:eastAsia="en-US"/>
        </w:rPr>
        <w:t>government is currently considering c</w:t>
      </w:r>
      <w:r w:rsidR="006A308B">
        <w:rPr>
          <w:szCs w:val="22"/>
          <w:lang w:val="en-GB" w:eastAsia="en-US"/>
        </w:rPr>
        <w:t>hanges to the Gender Recognition Act 2004</w:t>
      </w:r>
      <w:r w:rsidR="00173D93">
        <w:rPr>
          <w:szCs w:val="22"/>
          <w:lang w:val="en-GB" w:eastAsia="en-US"/>
        </w:rPr>
        <w:t>)</w:t>
      </w:r>
      <w:r w:rsidR="006A308B">
        <w:rPr>
          <w:szCs w:val="22"/>
          <w:lang w:val="en-GB" w:eastAsia="en-US"/>
        </w:rPr>
        <w:t>).</w:t>
      </w:r>
    </w:p>
    <w:p w14:paraId="4C8CFC2A" w14:textId="77777777" w:rsidR="003842AC" w:rsidRPr="00D84D56" w:rsidRDefault="003842AC" w:rsidP="001674F7">
      <w:pPr>
        <w:rPr>
          <w:szCs w:val="22"/>
          <w:lang w:val="en-GB" w:eastAsia="en-US"/>
        </w:rPr>
      </w:pPr>
    </w:p>
    <w:p w14:paraId="6923D7BB" w14:textId="77777777" w:rsidR="00CF7547" w:rsidRPr="00D84D56" w:rsidRDefault="007448E9" w:rsidP="001674F7">
      <w:pPr>
        <w:rPr>
          <w:szCs w:val="22"/>
          <w:lang w:val="en-GB" w:eastAsia="en-US"/>
        </w:rPr>
      </w:pPr>
      <w:r w:rsidRPr="00D84D56">
        <w:rPr>
          <w:szCs w:val="22"/>
          <w:lang w:val="en-GB" w:eastAsia="en-US"/>
        </w:rPr>
        <w:t>A useful glossary can be found in ‘</w:t>
      </w:r>
      <w:hyperlink w:anchor="_Appendix_1:_Gender" w:history="1">
        <w:r w:rsidRPr="00D84D56">
          <w:rPr>
            <w:rStyle w:val="Hyperlink"/>
            <w:szCs w:val="22"/>
            <w:lang w:val="en-GB" w:eastAsia="en-US"/>
          </w:rPr>
          <w:t xml:space="preserve">Appendix </w:t>
        </w:r>
        <w:r w:rsidR="00752D8A" w:rsidRPr="00D84D56">
          <w:rPr>
            <w:rStyle w:val="Hyperlink"/>
            <w:szCs w:val="22"/>
            <w:lang w:val="en-GB" w:eastAsia="en-US"/>
          </w:rPr>
          <w:t>2</w:t>
        </w:r>
        <w:r w:rsidRPr="00D84D56">
          <w:rPr>
            <w:rStyle w:val="Hyperlink"/>
            <w:szCs w:val="22"/>
            <w:lang w:val="en-GB" w:eastAsia="en-US"/>
          </w:rPr>
          <w:t>: Gender Identity and Expression and Intersex terminology</w:t>
        </w:r>
      </w:hyperlink>
      <w:r w:rsidRPr="00D84D56">
        <w:rPr>
          <w:szCs w:val="22"/>
          <w:lang w:val="en-GB" w:eastAsia="en-US"/>
        </w:rPr>
        <w:t xml:space="preserve">’. </w:t>
      </w:r>
      <w:r w:rsidR="00CF7547" w:rsidRPr="00D84D56">
        <w:rPr>
          <w:szCs w:val="22"/>
          <w:lang w:val="en-GB" w:eastAsia="en-US"/>
        </w:rPr>
        <w:t xml:space="preserve">In any case, however, </w:t>
      </w:r>
      <w:r w:rsidR="00085888" w:rsidRPr="00D84D56">
        <w:rPr>
          <w:szCs w:val="22"/>
          <w:lang w:val="en-GB" w:eastAsia="en-US"/>
        </w:rPr>
        <w:t>the individual’s experience and reasonable preferences and requirements will inform any decision as to what is appropriate in the circumstances, even if their experience is not captured by this document.</w:t>
      </w:r>
    </w:p>
    <w:p w14:paraId="1F181885" w14:textId="77777777" w:rsidR="00CF7547" w:rsidRPr="00D84D56" w:rsidRDefault="00CF7547" w:rsidP="001674F7">
      <w:pPr>
        <w:rPr>
          <w:szCs w:val="22"/>
          <w:lang w:val="en-GB" w:eastAsia="en-US"/>
        </w:rPr>
      </w:pPr>
    </w:p>
    <w:p w14:paraId="7A717C42" w14:textId="77777777" w:rsidR="001674F7" w:rsidRPr="00D84D56" w:rsidRDefault="00A718C3" w:rsidP="001674F7">
      <w:pPr>
        <w:rPr>
          <w:szCs w:val="22"/>
          <w:lang w:val="en-GB" w:eastAsia="en-US"/>
        </w:rPr>
      </w:pPr>
      <w:r w:rsidRPr="00D84D56">
        <w:rPr>
          <w:szCs w:val="22"/>
          <w:lang w:val="en-GB" w:eastAsia="en-US"/>
        </w:rPr>
        <w:t>The aims of this</w:t>
      </w:r>
      <w:r w:rsidR="00085888" w:rsidRPr="00D84D56">
        <w:rPr>
          <w:szCs w:val="22"/>
          <w:lang w:val="en-GB" w:eastAsia="en-US"/>
        </w:rPr>
        <w:t xml:space="preserve"> guidance and policy</w:t>
      </w:r>
      <w:r w:rsidR="001674F7" w:rsidRPr="00D84D56">
        <w:rPr>
          <w:szCs w:val="22"/>
          <w:lang w:val="en-GB" w:eastAsia="en-US"/>
        </w:rPr>
        <w:t xml:space="preserve"> </w:t>
      </w:r>
      <w:r w:rsidRPr="00D84D56">
        <w:rPr>
          <w:szCs w:val="22"/>
          <w:lang w:val="en-GB" w:eastAsia="en-US"/>
        </w:rPr>
        <w:t>are to</w:t>
      </w:r>
      <w:r w:rsidR="001674F7" w:rsidRPr="00D84D56">
        <w:rPr>
          <w:szCs w:val="22"/>
          <w:lang w:val="en-GB" w:eastAsia="en-US"/>
        </w:rPr>
        <w:t>:</w:t>
      </w:r>
    </w:p>
    <w:p w14:paraId="6EB8D6ED" w14:textId="77777777" w:rsidR="00BF296B" w:rsidRPr="00D84D56" w:rsidRDefault="001674F7" w:rsidP="00EE4CB7">
      <w:pPr>
        <w:numPr>
          <w:ilvl w:val="0"/>
          <w:numId w:val="2"/>
        </w:numPr>
        <w:ind w:left="567" w:hanging="567"/>
        <w:rPr>
          <w:szCs w:val="22"/>
          <w:lang w:val="en-GB" w:eastAsia="en-US"/>
        </w:rPr>
      </w:pPr>
      <w:r w:rsidRPr="00D84D56">
        <w:rPr>
          <w:szCs w:val="22"/>
          <w:lang w:val="en-GB" w:eastAsia="en-US"/>
        </w:rPr>
        <w:t>raise awareness around gender and sex diversity</w:t>
      </w:r>
      <w:r w:rsidR="00141C97" w:rsidRPr="00D84D56">
        <w:rPr>
          <w:szCs w:val="22"/>
          <w:lang w:val="en-GB" w:eastAsia="en-US"/>
        </w:rPr>
        <w:t xml:space="preserve"> against any oppression or erasure of the respective communities</w:t>
      </w:r>
      <w:r w:rsidR="00BF296B" w:rsidRPr="00D84D56">
        <w:rPr>
          <w:szCs w:val="22"/>
          <w:lang w:val="en-GB" w:eastAsia="en-US"/>
        </w:rPr>
        <w:t>;</w:t>
      </w:r>
    </w:p>
    <w:p w14:paraId="441A321E" w14:textId="77777777" w:rsidR="001674F7" w:rsidRPr="00D84D56" w:rsidRDefault="001674F7" w:rsidP="00EE4CB7">
      <w:pPr>
        <w:numPr>
          <w:ilvl w:val="0"/>
          <w:numId w:val="2"/>
        </w:numPr>
        <w:ind w:left="567" w:hanging="567"/>
        <w:rPr>
          <w:szCs w:val="22"/>
          <w:lang w:val="en-GB" w:eastAsia="en-US"/>
        </w:rPr>
      </w:pPr>
      <w:r w:rsidRPr="00D84D56">
        <w:rPr>
          <w:szCs w:val="22"/>
          <w:lang w:val="en-GB" w:eastAsia="en-US"/>
        </w:rPr>
        <w:t>place the individual’s experience at the centre of attention</w:t>
      </w:r>
      <w:r w:rsidR="00BF296B" w:rsidRPr="00D84D56">
        <w:rPr>
          <w:szCs w:val="22"/>
          <w:lang w:val="en-GB" w:eastAsia="en-US"/>
        </w:rPr>
        <w:t xml:space="preserve"> as opposed to any societal pressures or medical and legal definitions and procedures</w:t>
      </w:r>
      <w:r w:rsidRPr="00D84D56">
        <w:rPr>
          <w:szCs w:val="22"/>
          <w:lang w:val="en-GB" w:eastAsia="en-US"/>
        </w:rPr>
        <w:t>;</w:t>
      </w:r>
    </w:p>
    <w:p w14:paraId="3C0171A8" w14:textId="77777777" w:rsidR="001974CB" w:rsidRPr="00D84D56" w:rsidRDefault="001974CB" w:rsidP="00EE4CB7">
      <w:pPr>
        <w:numPr>
          <w:ilvl w:val="0"/>
          <w:numId w:val="2"/>
        </w:numPr>
        <w:ind w:left="567" w:hanging="567"/>
        <w:rPr>
          <w:szCs w:val="22"/>
          <w:lang w:val="en-GB" w:eastAsia="en-US"/>
        </w:rPr>
      </w:pPr>
      <w:r w:rsidRPr="00D84D56">
        <w:rPr>
          <w:szCs w:val="22"/>
          <w:lang w:val="en-GB" w:eastAsia="en-US"/>
        </w:rPr>
        <w:t>deconstruct the binary classification of sex and gender as well as the notion of gender essentialism;</w:t>
      </w:r>
    </w:p>
    <w:p w14:paraId="1E71FBD2" w14:textId="77777777" w:rsidR="0067705C" w:rsidRPr="00D84D56" w:rsidRDefault="0067705C" w:rsidP="00EE4CB7">
      <w:pPr>
        <w:numPr>
          <w:ilvl w:val="0"/>
          <w:numId w:val="2"/>
        </w:numPr>
        <w:ind w:left="567" w:hanging="567"/>
        <w:rPr>
          <w:szCs w:val="22"/>
          <w:lang w:val="en-GB" w:eastAsia="en-US"/>
        </w:rPr>
      </w:pPr>
      <w:r w:rsidRPr="00D84D56">
        <w:rPr>
          <w:szCs w:val="22"/>
          <w:lang w:val="en-GB" w:eastAsia="en-US"/>
        </w:rPr>
        <w:t>promote the values of dignity, respect and fair treatment</w:t>
      </w:r>
      <w:r w:rsidR="00DF0780" w:rsidRPr="00D84D56">
        <w:rPr>
          <w:szCs w:val="22"/>
          <w:lang w:val="en-GB" w:eastAsia="en-US"/>
        </w:rPr>
        <w:t xml:space="preserve">, </w:t>
      </w:r>
      <w:r w:rsidRPr="00D84D56">
        <w:rPr>
          <w:szCs w:val="22"/>
          <w:lang w:val="en-GB" w:eastAsia="en-US"/>
        </w:rPr>
        <w:t>eliminate any form of discrimination and/</w:t>
      </w:r>
      <w:r w:rsidR="005277CE" w:rsidRPr="00D84D56">
        <w:rPr>
          <w:szCs w:val="22"/>
          <w:lang w:val="en-GB" w:eastAsia="en-US"/>
        </w:rPr>
        <w:t xml:space="preserve"> </w:t>
      </w:r>
      <w:r w:rsidRPr="00D84D56">
        <w:rPr>
          <w:szCs w:val="22"/>
          <w:lang w:val="en-GB" w:eastAsia="en-US"/>
        </w:rPr>
        <w:t>or harassment</w:t>
      </w:r>
      <w:r w:rsidR="00DF0780" w:rsidRPr="00D84D56">
        <w:rPr>
          <w:szCs w:val="22"/>
          <w:lang w:val="en-GB" w:eastAsia="en-US"/>
        </w:rPr>
        <w:t>, and ensure the Council’s compliance with the Public Sector equality duty;</w:t>
      </w:r>
    </w:p>
    <w:p w14:paraId="15D66D33" w14:textId="77777777" w:rsidR="001674F7" w:rsidRPr="00D84D56" w:rsidRDefault="001674F7" w:rsidP="00EE4CB7">
      <w:pPr>
        <w:numPr>
          <w:ilvl w:val="0"/>
          <w:numId w:val="2"/>
        </w:numPr>
        <w:ind w:left="567" w:hanging="567"/>
        <w:rPr>
          <w:szCs w:val="22"/>
          <w:lang w:val="en-GB" w:eastAsia="en-US"/>
        </w:rPr>
      </w:pPr>
      <w:r w:rsidRPr="00D84D56">
        <w:rPr>
          <w:szCs w:val="22"/>
          <w:lang w:val="en-GB" w:eastAsia="en-US"/>
        </w:rPr>
        <w:t>lift barriers that gender variant and intersex people might</w:t>
      </w:r>
      <w:r w:rsidR="0067705C" w:rsidRPr="00D84D56">
        <w:rPr>
          <w:szCs w:val="22"/>
          <w:lang w:val="en-GB" w:eastAsia="en-US"/>
        </w:rPr>
        <w:t xml:space="preserve"> otherwise</w:t>
      </w:r>
      <w:r w:rsidRPr="00D84D56">
        <w:rPr>
          <w:szCs w:val="22"/>
          <w:lang w:val="en-GB" w:eastAsia="en-US"/>
        </w:rPr>
        <w:t xml:space="preserve"> face when using the Council’s services or whilst in employment with </w:t>
      </w:r>
      <w:r w:rsidR="00085888" w:rsidRPr="00D84D56">
        <w:rPr>
          <w:szCs w:val="22"/>
          <w:lang w:val="en-GB" w:eastAsia="en-US"/>
        </w:rPr>
        <w:t>the Council</w:t>
      </w:r>
      <w:r w:rsidRPr="00D84D56">
        <w:rPr>
          <w:szCs w:val="22"/>
          <w:lang w:val="en-GB" w:eastAsia="en-US"/>
        </w:rPr>
        <w:t>;</w:t>
      </w:r>
    </w:p>
    <w:p w14:paraId="5E28030F" w14:textId="77777777" w:rsidR="0067705C" w:rsidRPr="00D84D56" w:rsidRDefault="00A718C3" w:rsidP="00EE4CB7">
      <w:pPr>
        <w:numPr>
          <w:ilvl w:val="0"/>
          <w:numId w:val="2"/>
        </w:numPr>
        <w:ind w:left="567" w:hanging="567"/>
        <w:rPr>
          <w:szCs w:val="22"/>
          <w:lang w:val="en-GB" w:eastAsia="en-US"/>
        </w:rPr>
      </w:pPr>
      <w:r w:rsidRPr="00D84D56">
        <w:rPr>
          <w:szCs w:val="22"/>
          <w:lang w:val="en-GB" w:eastAsia="en-US"/>
        </w:rPr>
        <w:t xml:space="preserve">enable staff to support people who transition by </w:t>
      </w:r>
      <w:r w:rsidR="0067705C" w:rsidRPr="00D84D56">
        <w:rPr>
          <w:szCs w:val="22"/>
          <w:lang w:val="en-GB" w:eastAsia="en-US"/>
        </w:rPr>
        <w:t>rais</w:t>
      </w:r>
      <w:r w:rsidRPr="00D84D56">
        <w:rPr>
          <w:szCs w:val="22"/>
          <w:lang w:val="en-GB" w:eastAsia="en-US"/>
        </w:rPr>
        <w:t>ing</w:t>
      </w:r>
      <w:r w:rsidR="0067705C" w:rsidRPr="00D84D56">
        <w:rPr>
          <w:szCs w:val="22"/>
          <w:lang w:val="en-GB" w:eastAsia="en-US"/>
        </w:rPr>
        <w:t xml:space="preserve"> awareness and set</w:t>
      </w:r>
      <w:r w:rsidRPr="00D84D56">
        <w:rPr>
          <w:szCs w:val="22"/>
          <w:lang w:val="en-GB" w:eastAsia="en-US"/>
        </w:rPr>
        <w:t>ting</w:t>
      </w:r>
      <w:r w:rsidR="0067705C" w:rsidRPr="00D84D56">
        <w:rPr>
          <w:szCs w:val="22"/>
          <w:lang w:val="en-GB" w:eastAsia="en-US"/>
        </w:rPr>
        <w:t xml:space="preserve"> the acceptable behavioural standards</w:t>
      </w:r>
      <w:r w:rsidR="00BD5893" w:rsidRPr="00D84D56">
        <w:rPr>
          <w:szCs w:val="22"/>
          <w:lang w:val="en-GB" w:eastAsia="en-US"/>
        </w:rPr>
        <w:t xml:space="preserve"> of confidentiality and </w:t>
      </w:r>
      <w:r w:rsidR="00650352" w:rsidRPr="00D84D56">
        <w:rPr>
          <w:szCs w:val="22"/>
          <w:lang w:val="en-GB" w:eastAsia="en-US"/>
        </w:rPr>
        <w:t>discretion</w:t>
      </w:r>
      <w:r w:rsidR="0067705C" w:rsidRPr="00D84D56">
        <w:rPr>
          <w:szCs w:val="22"/>
          <w:lang w:val="en-GB" w:eastAsia="en-US"/>
        </w:rPr>
        <w:t>;</w:t>
      </w:r>
    </w:p>
    <w:p w14:paraId="400A45DE" w14:textId="77777777" w:rsidR="001674F7" w:rsidRPr="00D84D56" w:rsidRDefault="001674F7" w:rsidP="00EE4CB7">
      <w:pPr>
        <w:numPr>
          <w:ilvl w:val="0"/>
          <w:numId w:val="2"/>
        </w:numPr>
        <w:ind w:left="567" w:hanging="567"/>
        <w:rPr>
          <w:szCs w:val="22"/>
          <w:lang w:val="en-GB" w:eastAsia="en-US"/>
        </w:rPr>
      </w:pPr>
      <w:r w:rsidRPr="00D84D56">
        <w:rPr>
          <w:szCs w:val="22"/>
          <w:lang w:val="en-GB" w:eastAsia="en-US"/>
        </w:rPr>
        <w:t xml:space="preserve">empower </w:t>
      </w:r>
      <w:r w:rsidR="00741686" w:rsidRPr="00D84D56">
        <w:rPr>
          <w:szCs w:val="22"/>
          <w:lang w:val="en-GB" w:eastAsia="en-US"/>
        </w:rPr>
        <w:t xml:space="preserve">all </w:t>
      </w:r>
      <w:r w:rsidRPr="00D84D56">
        <w:rPr>
          <w:szCs w:val="22"/>
          <w:lang w:val="en-GB" w:eastAsia="en-US"/>
        </w:rPr>
        <w:t>employees and managers in challenging inappropriate behaviour;</w:t>
      </w:r>
    </w:p>
    <w:p w14:paraId="6527334F" w14:textId="77777777" w:rsidR="00A718C3" w:rsidRPr="00D84D56" w:rsidRDefault="00A718C3" w:rsidP="00EE4CB7">
      <w:pPr>
        <w:numPr>
          <w:ilvl w:val="0"/>
          <w:numId w:val="2"/>
        </w:numPr>
        <w:ind w:left="567" w:hanging="567"/>
        <w:rPr>
          <w:szCs w:val="22"/>
          <w:lang w:val="en-GB" w:eastAsia="en-US"/>
        </w:rPr>
      </w:pPr>
      <w:r w:rsidRPr="00D84D56">
        <w:rPr>
          <w:szCs w:val="22"/>
          <w:lang w:val="en-GB" w:eastAsia="en-US"/>
        </w:rPr>
        <w:t>enable everyone to recognise the roots of unconscious biases and challenge themselves;</w:t>
      </w:r>
    </w:p>
    <w:p w14:paraId="2BE8397D" w14:textId="77777777" w:rsidR="001674F7" w:rsidRPr="00D84D56" w:rsidRDefault="001674F7" w:rsidP="00EE4CB7">
      <w:pPr>
        <w:numPr>
          <w:ilvl w:val="0"/>
          <w:numId w:val="2"/>
        </w:numPr>
        <w:ind w:left="567" w:hanging="567"/>
        <w:rPr>
          <w:szCs w:val="22"/>
          <w:lang w:val="en-GB" w:eastAsia="en-US"/>
        </w:rPr>
      </w:pPr>
      <w:r w:rsidRPr="00D84D56">
        <w:rPr>
          <w:szCs w:val="22"/>
          <w:lang w:val="en-GB" w:eastAsia="en-US"/>
        </w:rPr>
        <w:t xml:space="preserve">inform other Council’s processes and procedures where inappropriate behaviour </w:t>
      </w:r>
      <w:r w:rsidR="00085888" w:rsidRPr="00D84D56">
        <w:rPr>
          <w:szCs w:val="22"/>
          <w:lang w:val="en-GB" w:eastAsia="en-US"/>
        </w:rPr>
        <w:t>may</w:t>
      </w:r>
      <w:r w:rsidRPr="00D84D56">
        <w:rPr>
          <w:szCs w:val="22"/>
          <w:lang w:val="en-GB" w:eastAsia="en-US"/>
        </w:rPr>
        <w:t xml:space="preserve"> be subject to disciplinary action and/</w:t>
      </w:r>
      <w:r w:rsidR="00085888" w:rsidRPr="00D84D56">
        <w:rPr>
          <w:szCs w:val="22"/>
          <w:lang w:val="en-GB" w:eastAsia="en-US"/>
        </w:rPr>
        <w:t xml:space="preserve"> </w:t>
      </w:r>
      <w:r w:rsidRPr="00D84D56">
        <w:rPr>
          <w:szCs w:val="22"/>
          <w:lang w:val="en-GB" w:eastAsia="en-US"/>
        </w:rPr>
        <w:t>or</w:t>
      </w:r>
      <w:r w:rsidR="00085888" w:rsidRPr="00D84D56">
        <w:rPr>
          <w:szCs w:val="22"/>
          <w:lang w:val="en-GB" w:eastAsia="en-US"/>
        </w:rPr>
        <w:t xml:space="preserve"> a</w:t>
      </w:r>
      <w:r w:rsidRPr="00D84D56">
        <w:rPr>
          <w:szCs w:val="22"/>
          <w:lang w:val="en-GB" w:eastAsia="en-US"/>
        </w:rPr>
        <w:t xml:space="preserve"> criminal investigation.</w:t>
      </w:r>
    </w:p>
    <w:p w14:paraId="06F23772" w14:textId="77777777" w:rsidR="0067705C" w:rsidRPr="00D84D56" w:rsidRDefault="0067705C" w:rsidP="00734D5B">
      <w:pPr>
        <w:rPr>
          <w:szCs w:val="22"/>
          <w:lang w:val="en-GB" w:eastAsia="en-US"/>
        </w:rPr>
      </w:pPr>
    </w:p>
    <w:p w14:paraId="1545CB63" w14:textId="77777777" w:rsidR="00E77BEE" w:rsidRPr="00D84D56" w:rsidRDefault="00653F53" w:rsidP="001306D4">
      <w:pPr>
        <w:pStyle w:val="Heading2"/>
        <w:ind w:left="-135"/>
        <w:rPr>
          <w:lang w:val="en-GB"/>
        </w:rPr>
      </w:pPr>
      <w:r w:rsidRPr="00D84D56">
        <w:rPr>
          <w:lang w:val="en-GB"/>
        </w:rPr>
        <w:t xml:space="preserve"> </w:t>
      </w:r>
      <w:r w:rsidRPr="00D84D56">
        <w:rPr>
          <w:lang w:val="en-GB"/>
        </w:rPr>
        <w:tab/>
      </w:r>
      <w:bookmarkStart w:id="1" w:name="_Toc19273733"/>
      <w:r w:rsidR="00547CD2" w:rsidRPr="00D84D56">
        <w:rPr>
          <w:lang w:val="en-GB"/>
        </w:rPr>
        <w:t>Policy statement: The Council’s position</w:t>
      </w:r>
      <w:bookmarkEnd w:id="1"/>
    </w:p>
    <w:p w14:paraId="31984692" w14:textId="77777777" w:rsidR="00085888" w:rsidRPr="00D84D56" w:rsidRDefault="00085888" w:rsidP="00547CD2">
      <w:pPr>
        <w:rPr>
          <w:rFonts w:cs="Arial"/>
          <w:color w:val="FF0000"/>
          <w:lang w:val="en-GB"/>
        </w:rPr>
      </w:pPr>
      <w:r w:rsidRPr="00D84D56">
        <w:rPr>
          <w:szCs w:val="22"/>
          <w:lang w:val="en-GB" w:eastAsia="en-US"/>
        </w:rPr>
        <w:t xml:space="preserve">The Council aspires to be a forward-thinking service provider and employer that embraces and protects diversity and equality of opportunity. </w:t>
      </w:r>
      <w:r w:rsidR="00F543BC" w:rsidRPr="00D84D56">
        <w:rPr>
          <w:szCs w:val="22"/>
          <w:lang w:val="en-GB" w:eastAsia="en-US"/>
        </w:rPr>
        <w:t>It also aims to be an organisation that seeks to learn from emerging good practice and thought, evolving inclusive language and terminology relating to gender identity and the intersex condition.</w:t>
      </w:r>
    </w:p>
    <w:p w14:paraId="39D80BF5" w14:textId="77777777" w:rsidR="009A1614" w:rsidRPr="00D84D56" w:rsidRDefault="009A1614" w:rsidP="00547CD2">
      <w:pPr>
        <w:rPr>
          <w:szCs w:val="22"/>
          <w:lang w:val="en-GB" w:eastAsia="en-US"/>
        </w:rPr>
      </w:pPr>
    </w:p>
    <w:p w14:paraId="304F8355" w14:textId="77777777" w:rsidR="009A1614" w:rsidRPr="00D84D56" w:rsidRDefault="009A1614" w:rsidP="00547CD2">
      <w:pPr>
        <w:rPr>
          <w:szCs w:val="22"/>
          <w:lang w:val="en-GB" w:eastAsia="en-US"/>
        </w:rPr>
      </w:pPr>
      <w:r w:rsidRPr="00D84D56">
        <w:rPr>
          <w:szCs w:val="22"/>
          <w:lang w:val="en-GB" w:eastAsia="en-US"/>
        </w:rPr>
        <w:t>For th</w:t>
      </w:r>
      <w:r w:rsidR="00BF2585" w:rsidRPr="00D84D56">
        <w:rPr>
          <w:szCs w:val="22"/>
          <w:lang w:val="en-GB" w:eastAsia="en-US"/>
        </w:rPr>
        <w:t>ese</w:t>
      </w:r>
      <w:r w:rsidRPr="00D84D56">
        <w:rPr>
          <w:szCs w:val="22"/>
          <w:lang w:val="en-GB" w:eastAsia="en-US"/>
        </w:rPr>
        <w:t xml:space="preserve"> reason</w:t>
      </w:r>
      <w:r w:rsidR="00BF2585" w:rsidRPr="00D84D56">
        <w:rPr>
          <w:szCs w:val="22"/>
          <w:lang w:val="en-GB" w:eastAsia="en-US"/>
        </w:rPr>
        <w:t>s</w:t>
      </w:r>
      <w:r w:rsidRPr="00D84D56">
        <w:rPr>
          <w:szCs w:val="22"/>
          <w:lang w:val="en-GB" w:eastAsia="en-US"/>
        </w:rPr>
        <w:t>:</w:t>
      </w:r>
    </w:p>
    <w:p w14:paraId="756E18BC" w14:textId="6E111966" w:rsidR="009A1614" w:rsidRPr="00D84D56" w:rsidRDefault="009A1614" w:rsidP="00EE4CB7">
      <w:pPr>
        <w:numPr>
          <w:ilvl w:val="0"/>
          <w:numId w:val="4"/>
        </w:numPr>
        <w:ind w:left="567" w:hanging="567"/>
        <w:rPr>
          <w:szCs w:val="22"/>
          <w:lang w:val="en-GB" w:eastAsia="en-US"/>
        </w:rPr>
      </w:pPr>
      <w:r w:rsidRPr="00D84D56">
        <w:rPr>
          <w:szCs w:val="22"/>
          <w:lang w:val="en-GB" w:eastAsia="en-US"/>
        </w:rPr>
        <w:t>The Council places at the centre of attention the individual person’s view of themselves.</w:t>
      </w:r>
      <w:r w:rsidR="00CC30BE" w:rsidRPr="00D84D56">
        <w:rPr>
          <w:szCs w:val="22"/>
          <w:lang w:val="en-GB" w:eastAsia="en-US"/>
        </w:rPr>
        <w:t xml:space="preserve"> </w:t>
      </w:r>
      <w:r w:rsidR="00CC30BE" w:rsidRPr="00D84D56">
        <w:rPr>
          <w:rFonts w:cs="Arial"/>
          <w:lang w:val="en-GB"/>
        </w:rPr>
        <w:t>Gender identity and expression as well as any transition and gender affirmation are unique personal experiences.</w:t>
      </w:r>
      <w:r w:rsidR="00F543BC" w:rsidRPr="00D84D56">
        <w:rPr>
          <w:rFonts w:cs="Arial"/>
          <w:lang w:val="en-GB"/>
        </w:rPr>
        <w:t xml:space="preserve"> Sex characteristics can co-exist in</w:t>
      </w:r>
      <w:r w:rsidR="00F543BC" w:rsidRPr="00D84D56">
        <w:rPr>
          <w:lang w:val="en-GB"/>
        </w:rPr>
        <w:t xml:space="preserve"> </w:t>
      </w:r>
      <w:r w:rsidR="00F543BC" w:rsidRPr="00D84D56">
        <w:rPr>
          <w:rFonts w:cs="Arial"/>
          <w:lang w:val="en-GB"/>
        </w:rPr>
        <w:t>a naturally occurring variation of human development.</w:t>
      </w:r>
    </w:p>
    <w:p w14:paraId="1BB7E1BB" w14:textId="40C8772F" w:rsidR="00E008EE" w:rsidRPr="00D84D56" w:rsidRDefault="00AC0F73" w:rsidP="00EE4CB7">
      <w:pPr>
        <w:numPr>
          <w:ilvl w:val="0"/>
          <w:numId w:val="4"/>
        </w:numPr>
        <w:ind w:left="567" w:hanging="567"/>
        <w:rPr>
          <w:szCs w:val="22"/>
          <w:lang w:val="en-GB" w:eastAsia="en-US"/>
        </w:rPr>
      </w:pPr>
      <w:r>
        <w:rPr>
          <w:szCs w:val="22"/>
          <w:lang w:val="en-GB" w:eastAsia="en-US"/>
        </w:rPr>
        <w:t xml:space="preserve">As people may have overlapping </w:t>
      </w:r>
      <w:r w:rsidRPr="00D84D56">
        <w:rPr>
          <w:szCs w:val="22"/>
          <w:lang w:val="en-GB" w:eastAsia="en-US"/>
        </w:rPr>
        <w:t>social and political identit</w:t>
      </w:r>
      <w:r>
        <w:rPr>
          <w:szCs w:val="22"/>
          <w:lang w:val="en-GB" w:eastAsia="en-US"/>
        </w:rPr>
        <w:t>ies,</w:t>
      </w:r>
      <w:r w:rsidRPr="00D84D56">
        <w:rPr>
          <w:szCs w:val="22"/>
          <w:lang w:val="en-GB" w:eastAsia="en-US"/>
        </w:rPr>
        <w:t xml:space="preserve"> </w:t>
      </w:r>
      <w:r>
        <w:rPr>
          <w:szCs w:val="22"/>
          <w:lang w:val="en-GB" w:eastAsia="en-US"/>
        </w:rPr>
        <w:t>these may be</w:t>
      </w:r>
      <w:r w:rsidRPr="00D84D56">
        <w:rPr>
          <w:szCs w:val="22"/>
          <w:lang w:val="en-GB" w:eastAsia="en-US"/>
        </w:rPr>
        <w:t xml:space="preserve"> grounds for </w:t>
      </w:r>
      <w:r>
        <w:rPr>
          <w:szCs w:val="22"/>
          <w:lang w:val="en-GB" w:eastAsia="en-US"/>
        </w:rPr>
        <w:t>overlapping forms of</w:t>
      </w:r>
      <w:r w:rsidRPr="00D84D56">
        <w:rPr>
          <w:szCs w:val="22"/>
          <w:lang w:val="en-GB" w:eastAsia="en-US"/>
        </w:rPr>
        <w:t xml:space="preserve"> discrimination</w:t>
      </w:r>
      <w:r>
        <w:rPr>
          <w:szCs w:val="22"/>
          <w:lang w:val="en-GB" w:eastAsia="en-US"/>
        </w:rPr>
        <w:t xml:space="preserve">. This </w:t>
      </w:r>
      <w:r w:rsidR="00E008EE" w:rsidRPr="00D84D56">
        <w:rPr>
          <w:szCs w:val="22"/>
          <w:lang w:val="en-GB" w:eastAsia="en-US"/>
        </w:rPr>
        <w:t>‘</w:t>
      </w:r>
      <w:r>
        <w:rPr>
          <w:szCs w:val="22"/>
          <w:lang w:val="en-GB" w:eastAsia="en-US"/>
        </w:rPr>
        <w:t>i</w:t>
      </w:r>
      <w:r w:rsidR="00E008EE" w:rsidRPr="00D84D56">
        <w:rPr>
          <w:szCs w:val="22"/>
          <w:lang w:val="en-GB" w:eastAsia="en-US"/>
        </w:rPr>
        <w:t>ntersectional</w:t>
      </w:r>
      <w:r>
        <w:rPr>
          <w:szCs w:val="22"/>
          <w:lang w:val="en-GB" w:eastAsia="en-US"/>
        </w:rPr>
        <w:t>ity</w:t>
      </w:r>
      <w:r w:rsidR="00E008EE" w:rsidRPr="00D84D56">
        <w:rPr>
          <w:szCs w:val="22"/>
          <w:lang w:val="en-GB" w:eastAsia="en-US"/>
        </w:rPr>
        <w:t>’</w:t>
      </w:r>
      <w:r>
        <w:rPr>
          <w:szCs w:val="22"/>
          <w:lang w:val="en-GB" w:eastAsia="en-US"/>
        </w:rPr>
        <w:t xml:space="preserve"> requires an increased awareness when ensuring people are</w:t>
      </w:r>
      <w:r w:rsidR="00E008EE" w:rsidRPr="00D84D56">
        <w:rPr>
          <w:szCs w:val="22"/>
          <w:lang w:val="en-GB" w:eastAsia="en-US"/>
        </w:rPr>
        <w:t xml:space="preserve"> treated with dignity and respect as</w:t>
      </w:r>
      <w:r w:rsidR="00A9387F">
        <w:rPr>
          <w:szCs w:val="22"/>
          <w:lang w:val="en-GB" w:eastAsia="en-US"/>
        </w:rPr>
        <w:t xml:space="preserve"> </w:t>
      </w:r>
      <w:r w:rsidR="00714AA1">
        <w:rPr>
          <w:szCs w:val="22"/>
          <w:lang w:val="en-GB" w:eastAsia="en-US"/>
        </w:rPr>
        <w:t>multi-faceted</w:t>
      </w:r>
      <w:r w:rsidR="00E008EE" w:rsidRPr="00D84D56">
        <w:rPr>
          <w:szCs w:val="22"/>
          <w:lang w:val="en-GB" w:eastAsia="en-US"/>
        </w:rPr>
        <w:t xml:space="preserve"> individuals.</w:t>
      </w:r>
    </w:p>
    <w:p w14:paraId="785B791B" w14:textId="77777777" w:rsidR="00EE64AF" w:rsidRPr="00D84D56" w:rsidRDefault="00EE64AF" w:rsidP="00EE4CB7">
      <w:pPr>
        <w:numPr>
          <w:ilvl w:val="0"/>
          <w:numId w:val="4"/>
        </w:numPr>
        <w:ind w:left="567" w:hanging="567"/>
        <w:rPr>
          <w:szCs w:val="22"/>
          <w:lang w:val="en-GB" w:eastAsia="en-US"/>
        </w:rPr>
      </w:pPr>
      <w:r w:rsidRPr="00D84D56">
        <w:rPr>
          <w:szCs w:val="22"/>
          <w:lang w:val="en-GB" w:eastAsia="en-US"/>
        </w:rPr>
        <w:t xml:space="preserve">The Council recognises the notions of gender identity and expression </w:t>
      </w:r>
      <w:r w:rsidR="000150B8" w:rsidRPr="00D84D56">
        <w:rPr>
          <w:szCs w:val="22"/>
          <w:lang w:val="en-GB" w:eastAsia="en-US"/>
        </w:rPr>
        <w:t xml:space="preserve">as well as the intersex conditions </w:t>
      </w:r>
      <w:r w:rsidRPr="00D84D56">
        <w:rPr>
          <w:szCs w:val="22"/>
          <w:lang w:val="en-GB" w:eastAsia="en-US"/>
        </w:rPr>
        <w:t>as characteristics that merit protection that the current legislation unfortunately does not provide at a satisfactory level.</w:t>
      </w:r>
    </w:p>
    <w:p w14:paraId="6841E729" w14:textId="77777777" w:rsidR="00EE64AF" w:rsidRPr="00D84D56" w:rsidRDefault="00EE64AF" w:rsidP="00EE4CB7">
      <w:pPr>
        <w:numPr>
          <w:ilvl w:val="0"/>
          <w:numId w:val="4"/>
        </w:numPr>
        <w:ind w:left="567" w:hanging="567"/>
        <w:rPr>
          <w:szCs w:val="22"/>
          <w:lang w:val="en-GB" w:eastAsia="en-US"/>
        </w:rPr>
      </w:pPr>
      <w:r w:rsidRPr="00D84D56">
        <w:rPr>
          <w:szCs w:val="22"/>
          <w:lang w:val="en-GB" w:eastAsia="en-US"/>
        </w:rPr>
        <w:t>The Council recognises that:</w:t>
      </w:r>
    </w:p>
    <w:p w14:paraId="434DEE87" w14:textId="77777777" w:rsidR="00EE64AF" w:rsidRPr="00D84D56" w:rsidRDefault="00EE64AF" w:rsidP="00EE4CB7">
      <w:pPr>
        <w:numPr>
          <w:ilvl w:val="1"/>
          <w:numId w:val="4"/>
        </w:numPr>
        <w:ind w:left="851" w:hanging="284"/>
        <w:rPr>
          <w:szCs w:val="22"/>
          <w:lang w:val="en-GB" w:eastAsia="en-US"/>
        </w:rPr>
      </w:pPr>
      <w:r w:rsidRPr="00D84D56">
        <w:rPr>
          <w:szCs w:val="22"/>
          <w:lang w:val="en-GB" w:eastAsia="en-US"/>
        </w:rPr>
        <w:t>not every gender variant person will present themselves in the same way;</w:t>
      </w:r>
    </w:p>
    <w:p w14:paraId="1FC49AB2" w14:textId="0DC40657" w:rsidR="00EE64AF" w:rsidRPr="00D84D56" w:rsidRDefault="00EE64AF" w:rsidP="00EE4CB7">
      <w:pPr>
        <w:numPr>
          <w:ilvl w:val="1"/>
          <w:numId w:val="4"/>
        </w:numPr>
        <w:ind w:left="851" w:hanging="284"/>
        <w:rPr>
          <w:szCs w:val="22"/>
          <w:lang w:val="en-GB" w:eastAsia="en-US"/>
        </w:rPr>
      </w:pPr>
      <w:r w:rsidRPr="00D84D56">
        <w:rPr>
          <w:szCs w:val="22"/>
          <w:lang w:val="en-GB" w:eastAsia="en-US"/>
        </w:rPr>
        <w:t>not every trans person will choose to undergo any medical treatment</w:t>
      </w:r>
      <w:r w:rsidR="00A6463A">
        <w:rPr>
          <w:szCs w:val="22"/>
          <w:lang w:val="en-GB" w:eastAsia="en-US"/>
        </w:rPr>
        <w:t xml:space="preserve"> or legal procedure</w:t>
      </w:r>
      <w:r w:rsidRPr="00D84D56">
        <w:rPr>
          <w:szCs w:val="22"/>
          <w:lang w:val="en-GB" w:eastAsia="en-US"/>
        </w:rPr>
        <w:t>;</w:t>
      </w:r>
    </w:p>
    <w:p w14:paraId="546F567C" w14:textId="02BC5669" w:rsidR="00EE64AF" w:rsidRPr="00D84D56" w:rsidRDefault="00EE64AF" w:rsidP="00EE4CB7">
      <w:pPr>
        <w:numPr>
          <w:ilvl w:val="1"/>
          <w:numId w:val="4"/>
        </w:numPr>
        <w:ind w:left="851" w:hanging="284"/>
        <w:rPr>
          <w:szCs w:val="22"/>
          <w:lang w:val="en-GB" w:eastAsia="en-US"/>
        </w:rPr>
      </w:pPr>
      <w:r w:rsidRPr="00D84D56">
        <w:rPr>
          <w:szCs w:val="22"/>
          <w:lang w:val="en-GB" w:eastAsia="en-US"/>
        </w:rPr>
        <w:t xml:space="preserve">a medical or legal transition are not required for a trans person to </w:t>
      </w:r>
      <w:r w:rsidR="00A6463A">
        <w:rPr>
          <w:szCs w:val="22"/>
          <w:lang w:val="en-GB" w:eastAsia="en-US"/>
        </w:rPr>
        <w:t>self-identify as</w:t>
      </w:r>
      <w:r w:rsidRPr="00D84D56">
        <w:rPr>
          <w:szCs w:val="22"/>
          <w:lang w:val="en-GB" w:eastAsia="en-US"/>
        </w:rPr>
        <w:t xml:space="preserve"> trans or identify with and present themselves in th</w:t>
      </w:r>
      <w:r w:rsidR="00A6463A">
        <w:rPr>
          <w:szCs w:val="22"/>
          <w:lang w:val="en-GB" w:eastAsia="en-US"/>
        </w:rPr>
        <w:t>e</w:t>
      </w:r>
      <w:r w:rsidRPr="00D84D56">
        <w:rPr>
          <w:szCs w:val="22"/>
          <w:lang w:val="en-GB" w:eastAsia="en-US"/>
        </w:rPr>
        <w:t xml:space="preserve"> way that suits them;</w:t>
      </w:r>
    </w:p>
    <w:p w14:paraId="4E55B940" w14:textId="77777777" w:rsidR="00EE64AF" w:rsidRPr="00D84D56" w:rsidRDefault="00EE64AF" w:rsidP="00EE4CB7">
      <w:pPr>
        <w:numPr>
          <w:ilvl w:val="1"/>
          <w:numId w:val="4"/>
        </w:numPr>
        <w:ind w:left="851" w:hanging="284"/>
        <w:rPr>
          <w:szCs w:val="22"/>
          <w:lang w:val="en-GB" w:eastAsia="en-US"/>
        </w:rPr>
      </w:pPr>
      <w:r w:rsidRPr="00D84D56">
        <w:rPr>
          <w:szCs w:val="22"/>
          <w:lang w:val="en-GB" w:eastAsia="en-US"/>
        </w:rPr>
        <w:t>not every intersex person will choose to make any changes to their anatomy or physiology.</w:t>
      </w:r>
    </w:p>
    <w:p w14:paraId="49B09CCC" w14:textId="66DA76D5" w:rsidR="00231DBF" w:rsidRPr="00D84D56" w:rsidRDefault="00A6463A" w:rsidP="003D61BE">
      <w:pPr>
        <w:numPr>
          <w:ilvl w:val="0"/>
          <w:numId w:val="4"/>
        </w:numPr>
        <w:rPr>
          <w:szCs w:val="22"/>
          <w:lang w:val="en-GB" w:eastAsia="en-US"/>
        </w:rPr>
      </w:pPr>
      <w:r>
        <w:rPr>
          <w:szCs w:val="22"/>
          <w:lang w:val="en-GB" w:eastAsia="en-US"/>
        </w:rPr>
        <w:t>The Council will extend all reasonable support to individuals who undergo t</w:t>
      </w:r>
      <w:r w:rsidR="001C4490" w:rsidRPr="00D84D56">
        <w:rPr>
          <w:szCs w:val="22"/>
          <w:lang w:val="en-GB" w:eastAsia="en-US"/>
        </w:rPr>
        <w:t>ransition</w:t>
      </w:r>
      <w:r>
        <w:rPr>
          <w:szCs w:val="22"/>
          <w:lang w:val="en-GB" w:eastAsia="en-US"/>
        </w:rPr>
        <w:t>, in the</w:t>
      </w:r>
      <w:r w:rsidR="001C4490" w:rsidRPr="00D84D56">
        <w:rPr>
          <w:szCs w:val="22"/>
          <w:lang w:val="en-GB" w:eastAsia="en-US"/>
        </w:rPr>
        <w:t xml:space="preserve"> same </w:t>
      </w:r>
      <w:r>
        <w:rPr>
          <w:szCs w:val="22"/>
          <w:lang w:val="en-GB" w:eastAsia="en-US"/>
        </w:rPr>
        <w:t xml:space="preserve">way </w:t>
      </w:r>
      <w:r w:rsidR="001C4490" w:rsidRPr="00D84D56">
        <w:rPr>
          <w:rFonts w:cs="Arial"/>
          <w:shd w:val="clear" w:color="auto" w:fill="FFFFFF"/>
          <w:lang w:val="en-GB"/>
        </w:rPr>
        <w:t xml:space="preserve">as </w:t>
      </w:r>
      <w:r>
        <w:rPr>
          <w:rFonts w:cs="Arial"/>
          <w:shd w:val="clear" w:color="auto" w:fill="FFFFFF"/>
          <w:lang w:val="en-GB"/>
        </w:rPr>
        <w:t xml:space="preserve">with </w:t>
      </w:r>
      <w:r w:rsidR="001C4490" w:rsidRPr="00D84D56">
        <w:rPr>
          <w:rFonts w:cs="Arial"/>
          <w:shd w:val="clear" w:color="auto" w:fill="FFFFFF"/>
          <w:lang w:val="en-GB"/>
        </w:rPr>
        <w:t>a</w:t>
      </w:r>
      <w:r>
        <w:rPr>
          <w:rFonts w:cs="Arial"/>
          <w:shd w:val="clear" w:color="auto" w:fill="FFFFFF"/>
          <w:lang w:val="en-GB"/>
        </w:rPr>
        <w:t>ny</w:t>
      </w:r>
      <w:r w:rsidR="001C4490" w:rsidRPr="00D84D56">
        <w:rPr>
          <w:rFonts w:cs="Arial"/>
          <w:shd w:val="clear" w:color="auto" w:fill="FFFFFF"/>
          <w:lang w:val="en-GB"/>
        </w:rPr>
        <w:t xml:space="preserve"> life-altering </w:t>
      </w:r>
      <w:r w:rsidR="00C145FB">
        <w:rPr>
          <w:rFonts w:cs="Arial"/>
          <w:shd w:val="clear" w:color="auto" w:fill="FFFFFF"/>
          <w:lang w:val="en-GB"/>
        </w:rPr>
        <w:t>decision or condition</w:t>
      </w:r>
      <w:r w:rsidR="001C4490" w:rsidRPr="00D84D56">
        <w:rPr>
          <w:rFonts w:cs="Arial"/>
          <w:shd w:val="clear" w:color="auto" w:fill="FFFFFF"/>
          <w:lang w:val="en-GB"/>
        </w:rPr>
        <w:t>.</w:t>
      </w:r>
    </w:p>
    <w:p w14:paraId="177C2211" w14:textId="77777777" w:rsidR="00547CD2" w:rsidRPr="00D84D56" w:rsidRDefault="009A1614" w:rsidP="003D61BE">
      <w:pPr>
        <w:numPr>
          <w:ilvl w:val="0"/>
          <w:numId w:val="4"/>
        </w:numPr>
        <w:rPr>
          <w:szCs w:val="22"/>
          <w:lang w:val="en-GB" w:eastAsia="en-US"/>
        </w:rPr>
      </w:pPr>
      <w:r w:rsidRPr="00D84D56">
        <w:rPr>
          <w:szCs w:val="22"/>
          <w:lang w:val="en-GB" w:eastAsia="en-US"/>
        </w:rPr>
        <w:t>This document is an attempt to explore complex issues around gender diversity and variations in sex characteristics in</w:t>
      </w:r>
      <w:r w:rsidR="00547CD2" w:rsidRPr="00D84D56">
        <w:rPr>
          <w:szCs w:val="22"/>
          <w:lang w:val="en-GB" w:eastAsia="en-US"/>
        </w:rPr>
        <w:t xml:space="preserve"> line with the LGBTQI community’s views and terminology</w:t>
      </w:r>
      <w:r w:rsidRPr="00D84D56">
        <w:rPr>
          <w:szCs w:val="22"/>
          <w:lang w:val="en-GB" w:eastAsia="en-US"/>
        </w:rPr>
        <w:t>. However, the Council is</w:t>
      </w:r>
      <w:r w:rsidR="00547CD2" w:rsidRPr="00D84D56">
        <w:rPr>
          <w:szCs w:val="22"/>
          <w:lang w:val="en-GB" w:eastAsia="en-US"/>
        </w:rPr>
        <w:t xml:space="preserve"> open to feedback</w:t>
      </w:r>
      <w:r w:rsidRPr="00D84D56">
        <w:rPr>
          <w:szCs w:val="22"/>
          <w:lang w:val="en-GB" w:eastAsia="en-US"/>
        </w:rPr>
        <w:t xml:space="preserve"> and aspires for this document to be open to change and fluid</w:t>
      </w:r>
      <w:r w:rsidR="00547CD2" w:rsidRPr="00D84D56">
        <w:rPr>
          <w:szCs w:val="22"/>
          <w:lang w:val="en-GB" w:eastAsia="en-US"/>
        </w:rPr>
        <w:t>.</w:t>
      </w:r>
    </w:p>
    <w:p w14:paraId="1033A57E" w14:textId="77777777" w:rsidR="00E40B53" w:rsidRPr="00D84D56" w:rsidRDefault="00E40B53" w:rsidP="00653F53">
      <w:pPr>
        <w:pStyle w:val="ListParagraph"/>
        <w:ind w:left="0"/>
        <w:rPr>
          <w:szCs w:val="22"/>
          <w:lang w:val="en-GB" w:eastAsia="en-US"/>
        </w:rPr>
      </w:pPr>
    </w:p>
    <w:p w14:paraId="286098E8" w14:textId="77777777" w:rsidR="00E77BEE" w:rsidRPr="00D84D56" w:rsidRDefault="00653F53" w:rsidP="001306D4">
      <w:pPr>
        <w:pStyle w:val="Heading2"/>
        <w:ind w:left="-135"/>
        <w:rPr>
          <w:lang w:val="en-GB"/>
        </w:rPr>
      </w:pPr>
      <w:r w:rsidRPr="00D84D56">
        <w:rPr>
          <w:lang w:val="en-GB"/>
        </w:rPr>
        <w:t xml:space="preserve"> </w:t>
      </w:r>
      <w:r w:rsidRPr="00D84D56">
        <w:rPr>
          <w:lang w:val="en-GB"/>
        </w:rPr>
        <w:tab/>
      </w:r>
      <w:bookmarkStart w:id="2" w:name="_Toc19273734"/>
      <w:r w:rsidR="00E77BEE" w:rsidRPr="00D84D56">
        <w:rPr>
          <w:lang w:val="en-GB"/>
        </w:rPr>
        <w:t>Responsibilities</w:t>
      </w:r>
      <w:r w:rsidR="00AE760D" w:rsidRPr="00D84D56">
        <w:rPr>
          <w:lang w:val="en-GB"/>
        </w:rPr>
        <w:t xml:space="preserve"> within this policy</w:t>
      </w:r>
      <w:bookmarkEnd w:id="2"/>
    </w:p>
    <w:p w14:paraId="1CD6D6B9" w14:textId="598691FF" w:rsidR="00EB65AA" w:rsidRPr="00D84D56" w:rsidRDefault="00EB65AA" w:rsidP="00EB65AA">
      <w:pPr>
        <w:rPr>
          <w:szCs w:val="22"/>
          <w:lang w:val="en-GB" w:eastAsia="en-US"/>
        </w:rPr>
      </w:pPr>
      <w:r w:rsidRPr="00D84D56">
        <w:rPr>
          <w:szCs w:val="22"/>
          <w:lang w:val="en-GB" w:eastAsia="en-US"/>
        </w:rPr>
        <w:t xml:space="preserve">Management </w:t>
      </w:r>
      <w:r w:rsidR="00A6463A">
        <w:rPr>
          <w:szCs w:val="22"/>
          <w:lang w:val="en-GB" w:eastAsia="en-US"/>
        </w:rPr>
        <w:t>are expected</w:t>
      </w:r>
      <w:r w:rsidRPr="00D84D56">
        <w:rPr>
          <w:szCs w:val="22"/>
          <w:lang w:val="en-GB" w:eastAsia="en-US"/>
        </w:rPr>
        <w:t xml:space="preserve"> to be role models for behaviours required of others and must therefore behave according to the standards of fairness and equal treatment in the way that they recruit, communicate, manage performance, promote, and maintain discipline. They must identify problems and take action where they perceive it to be appropriate, maintaining good communication, listening carefully and investigating objectively.</w:t>
      </w:r>
    </w:p>
    <w:p w14:paraId="78F833E5" w14:textId="77777777" w:rsidR="00EB65AA" w:rsidRPr="00D84D56" w:rsidRDefault="00EB65AA" w:rsidP="00EB65AA">
      <w:pPr>
        <w:rPr>
          <w:szCs w:val="22"/>
          <w:lang w:val="en-GB" w:eastAsia="en-US"/>
        </w:rPr>
      </w:pPr>
    </w:p>
    <w:p w14:paraId="64EBDD56" w14:textId="078D7406" w:rsidR="00EB65AA" w:rsidRPr="00D84D56" w:rsidRDefault="00EB65AA" w:rsidP="00EB65AA">
      <w:pPr>
        <w:rPr>
          <w:szCs w:val="22"/>
          <w:lang w:val="en-GB" w:eastAsia="en-US"/>
        </w:rPr>
      </w:pPr>
      <w:r w:rsidRPr="00D84D56">
        <w:rPr>
          <w:szCs w:val="22"/>
          <w:lang w:val="en-GB" w:eastAsia="en-US"/>
        </w:rPr>
        <w:t xml:space="preserve">Equality and diversity </w:t>
      </w:r>
      <w:r w:rsidR="003741EE">
        <w:rPr>
          <w:szCs w:val="22"/>
          <w:lang w:val="en-GB" w:eastAsia="en-US"/>
        </w:rPr>
        <w:t xml:space="preserve">are </w:t>
      </w:r>
      <w:r w:rsidRPr="00D84D56">
        <w:rPr>
          <w:szCs w:val="22"/>
          <w:lang w:val="en-GB" w:eastAsia="en-US"/>
        </w:rPr>
        <w:t xml:space="preserve">included in the Council’s Induction training for all new staff. Specific recruitment and selection training </w:t>
      </w:r>
      <w:r w:rsidR="003741EE">
        <w:rPr>
          <w:szCs w:val="22"/>
          <w:lang w:val="en-GB" w:eastAsia="en-US"/>
        </w:rPr>
        <w:t xml:space="preserve">are </w:t>
      </w:r>
      <w:r w:rsidRPr="00D84D56">
        <w:rPr>
          <w:szCs w:val="22"/>
          <w:lang w:val="en-GB" w:eastAsia="en-US"/>
        </w:rPr>
        <w:t>available to all employees involved with recruitment.</w:t>
      </w:r>
    </w:p>
    <w:p w14:paraId="479723E7" w14:textId="77777777" w:rsidR="00EB65AA" w:rsidRPr="00D84D56" w:rsidRDefault="00EB65AA" w:rsidP="00EB65AA">
      <w:pPr>
        <w:rPr>
          <w:szCs w:val="22"/>
          <w:lang w:val="en-GB" w:eastAsia="en-US"/>
        </w:rPr>
      </w:pPr>
    </w:p>
    <w:p w14:paraId="0C4931D5" w14:textId="77777777" w:rsidR="00EB65AA" w:rsidRPr="00D84D56" w:rsidRDefault="00EB65AA" w:rsidP="00EB65AA">
      <w:pPr>
        <w:rPr>
          <w:szCs w:val="22"/>
          <w:lang w:val="en-GB" w:eastAsia="en-US"/>
        </w:rPr>
      </w:pPr>
      <w:r w:rsidRPr="00D84D56">
        <w:rPr>
          <w:szCs w:val="22"/>
          <w:lang w:val="en-GB" w:eastAsia="en-US"/>
        </w:rPr>
        <w:t>As with all Diversity and Inclusion</w:t>
      </w:r>
      <w:r w:rsidR="00D20334" w:rsidRPr="00D84D56">
        <w:rPr>
          <w:szCs w:val="22"/>
          <w:lang w:val="en-GB" w:eastAsia="en-US"/>
        </w:rPr>
        <w:t xml:space="preserve"> issues</w:t>
      </w:r>
      <w:r w:rsidRPr="00D84D56">
        <w:rPr>
          <w:szCs w:val="22"/>
          <w:lang w:val="en-GB" w:eastAsia="en-US"/>
        </w:rPr>
        <w:t>, staff have a responsibility to proactively educate themselves</w:t>
      </w:r>
      <w:r w:rsidR="00D20334" w:rsidRPr="00D84D56">
        <w:rPr>
          <w:szCs w:val="22"/>
          <w:lang w:val="en-GB" w:eastAsia="en-US"/>
        </w:rPr>
        <w:t xml:space="preserve"> around such matters</w:t>
      </w:r>
      <w:r w:rsidRPr="00D84D56">
        <w:rPr>
          <w:szCs w:val="22"/>
          <w:lang w:val="en-GB" w:eastAsia="en-US"/>
        </w:rPr>
        <w:t>. Every member of staff has a personal responsibility for their own behaviour and must treat all their colleagues with respect and fairness. All staff must act at all times in accordance with the Council’s Code of Conduct and any other relevant policies. This applies to activities undertaken on and off site or any activity associated with their employment with the Council.</w:t>
      </w:r>
    </w:p>
    <w:p w14:paraId="6F0974D8" w14:textId="77777777" w:rsidR="00EB65AA" w:rsidRPr="00D84D56" w:rsidRDefault="00EB65AA" w:rsidP="00EB65AA">
      <w:pPr>
        <w:rPr>
          <w:szCs w:val="22"/>
          <w:lang w:val="en-GB" w:eastAsia="en-US"/>
        </w:rPr>
      </w:pPr>
    </w:p>
    <w:p w14:paraId="58D472B6" w14:textId="77777777" w:rsidR="006D64DD" w:rsidRPr="00D84D56" w:rsidRDefault="006D64DD" w:rsidP="006D64DD">
      <w:pPr>
        <w:rPr>
          <w:szCs w:val="22"/>
          <w:lang w:val="en-GB" w:eastAsia="en-US"/>
        </w:rPr>
      </w:pPr>
      <w:r w:rsidRPr="00D84D56">
        <w:rPr>
          <w:szCs w:val="22"/>
          <w:lang w:val="en-GB" w:eastAsia="en-US"/>
        </w:rPr>
        <w:t>Examples of unacceptable behaviour that may be dealt with as a disciplinary matter are:</w:t>
      </w:r>
    </w:p>
    <w:p w14:paraId="69418DDA" w14:textId="77777777" w:rsidR="006D64DD" w:rsidRPr="00D84D56" w:rsidRDefault="006D64DD" w:rsidP="00EE4CB7">
      <w:pPr>
        <w:numPr>
          <w:ilvl w:val="0"/>
          <w:numId w:val="29"/>
        </w:numPr>
        <w:ind w:left="567" w:hanging="567"/>
        <w:rPr>
          <w:szCs w:val="22"/>
          <w:lang w:val="en-GB" w:eastAsia="en-US"/>
        </w:rPr>
      </w:pPr>
      <w:r w:rsidRPr="00D84D56">
        <w:rPr>
          <w:szCs w:val="22"/>
          <w:lang w:val="en-GB" w:eastAsia="en-US"/>
        </w:rPr>
        <w:t>any form of unlawful discrimination, harassment, bullying, or victimisation;</w:t>
      </w:r>
    </w:p>
    <w:p w14:paraId="12EBC6F4" w14:textId="77777777" w:rsidR="006D64DD" w:rsidRPr="00D84D56" w:rsidRDefault="006D64DD" w:rsidP="00EE4CB7">
      <w:pPr>
        <w:numPr>
          <w:ilvl w:val="0"/>
          <w:numId w:val="29"/>
        </w:numPr>
        <w:ind w:left="567" w:hanging="567"/>
        <w:rPr>
          <w:szCs w:val="22"/>
          <w:lang w:val="en-GB" w:eastAsia="en-US"/>
        </w:rPr>
      </w:pPr>
      <w:r w:rsidRPr="00D84D56">
        <w:rPr>
          <w:szCs w:val="22"/>
          <w:lang w:val="en-GB" w:eastAsia="en-US"/>
        </w:rPr>
        <w:t>any offensive conduct or views expressed in or outside the workplace, unlawful or not;</w:t>
      </w:r>
    </w:p>
    <w:p w14:paraId="7A3C418C" w14:textId="77777777" w:rsidR="006D64DD" w:rsidRPr="00D84D56" w:rsidRDefault="006D64DD" w:rsidP="00EE4CB7">
      <w:pPr>
        <w:numPr>
          <w:ilvl w:val="0"/>
          <w:numId w:val="29"/>
        </w:numPr>
        <w:ind w:left="567" w:hanging="567"/>
        <w:rPr>
          <w:szCs w:val="22"/>
          <w:lang w:val="en-GB" w:eastAsia="en-US"/>
        </w:rPr>
      </w:pPr>
      <w:r w:rsidRPr="00D84D56">
        <w:rPr>
          <w:szCs w:val="22"/>
          <w:lang w:val="en-GB" w:eastAsia="en-US"/>
        </w:rPr>
        <w:t>speculating about someone’s gender;</w:t>
      </w:r>
    </w:p>
    <w:p w14:paraId="74AB9FED" w14:textId="4139B804" w:rsidR="006D64DD" w:rsidRPr="00D84D56" w:rsidRDefault="006D64DD" w:rsidP="00EE4CB7">
      <w:pPr>
        <w:numPr>
          <w:ilvl w:val="0"/>
          <w:numId w:val="29"/>
        </w:numPr>
        <w:ind w:left="567" w:hanging="567"/>
        <w:rPr>
          <w:szCs w:val="22"/>
          <w:lang w:val="en-GB" w:eastAsia="en-US"/>
        </w:rPr>
      </w:pPr>
      <w:r w:rsidRPr="00D84D56">
        <w:rPr>
          <w:szCs w:val="22"/>
          <w:lang w:val="en-GB" w:eastAsia="en-US"/>
        </w:rPr>
        <w:t>ignoring someone’s pronoun;</w:t>
      </w:r>
    </w:p>
    <w:p w14:paraId="772341E7" w14:textId="77777777" w:rsidR="006D64DD" w:rsidRPr="00D84D56" w:rsidRDefault="006D64DD" w:rsidP="00EE4CB7">
      <w:pPr>
        <w:numPr>
          <w:ilvl w:val="0"/>
          <w:numId w:val="29"/>
        </w:numPr>
        <w:ind w:left="567" w:hanging="567"/>
        <w:rPr>
          <w:szCs w:val="22"/>
          <w:lang w:val="en-GB" w:eastAsia="en-US"/>
        </w:rPr>
      </w:pPr>
      <w:r w:rsidRPr="00D84D56">
        <w:rPr>
          <w:szCs w:val="22"/>
          <w:lang w:val="en-GB" w:eastAsia="en-US"/>
        </w:rPr>
        <w:t>non-consenting disclosure of or consistently referring to someone’s trans history;</w:t>
      </w:r>
    </w:p>
    <w:p w14:paraId="1EA43009" w14:textId="0CBC43F0" w:rsidR="006D64DD" w:rsidRPr="00D84D56" w:rsidRDefault="006D64DD" w:rsidP="00EE4CB7">
      <w:pPr>
        <w:numPr>
          <w:ilvl w:val="0"/>
          <w:numId w:val="29"/>
        </w:numPr>
        <w:ind w:left="567" w:hanging="567"/>
        <w:rPr>
          <w:szCs w:val="22"/>
          <w:lang w:val="en-GB" w:eastAsia="en-US"/>
        </w:rPr>
      </w:pPr>
      <w:r w:rsidRPr="00D84D56">
        <w:rPr>
          <w:szCs w:val="22"/>
          <w:lang w:val="en-GB" w:eastAsia="en-US"/>
        </w:rPr>
        <w:t xml:space="preserve">unwanted and intrusive questioning, </w:t>
      </w:r>
      <w:r w:rsidR="00C953B3">
        <w:rPr>
          <w:szCs w:val="22"/>
          <w:lang w:val="en-GB" w:eastAsia="en-US"/>
        </w:rPr>
        <w:t>for example,</w:t>
      </w:r>
      <w:r w:rsidRPr="00D84D56">
        <w:rPr>
          <w:szCs w:val="22"/>
          <w:lang w:val="en-GB" w:eastAsia="en-US"/>
        </w:rPr>
        <w:t xml:space="preserve"> questions about medical treatment or physical characteristics;</w:t>
      </w:r>
    </w:p>
    <w:p w14:paraId="1BD37927" w14:textId="77777777" w:rsidR="006D64DD" w:rsidRPr="00D84D56" w:rsidRDefault="006D64DD" w:rsidP="00EE4CB7">
      <w:pPr>
        <w:numPr>
          <w:ilvl w:val="0"/>
          <w:numId w:val="29"/>
        </w:numPr>
        <w:ind w:left="567" w:hanging="567"/>
        <w:rPr>
          <w:szCs w:val="22"/>
          <w:lang w:val="en-GB" w:eastAsia="en-US"/>
        </w:rPr>
      </w:pPr>
      <w:r w:rsidRPr="00D84D56">
        <w:rPr>
          <w:szCs w:val="22"/>
          <w:lang w:val="en-GB" w:eastAsia="en-US"/>
        </w:rPr>
        <w:t>questioning of somebody’s ability to convincingly ‘pass’ as non-trans;</w:t>
      </w:r>
    </w:p>
    <w:p w14:paraId="1ADB8345" w14:textId="77777777" w:rsidR="006D64DD" w:rsidRPr="00D84D56" w:rsidRDefault="006D64DD" w:rsidP="00EE4CB7">
      <w:pPr>
        <w:numPr>
          <w:ilvl w:val="0"/>
          <w:numId w:val="29"/>
        </w:numPr>
        <w:ind w:left="567" w:hanging="567"/>
        <w:rPr>
          <w:szCs w:val="22"/>
          <w:lang w:val="en-GB" w:eastAsia="en-US"/>
        </w:rPr>
      </w:pPr>
      <w:r w:rsidRPr="00D84D56">
        <w:rPr>
          <w:szCs w:val="22"/>
          <w:lang w:val="en-GB" w:eastAsia="en-US"/>
        </w:rPr>
        <w:t>forcing somebody to use the non-preferred toilets.</w:t>
      </w:r>
    </w:p>
    <w:p w14:paraId="7247A716" w14:textId="77777777" w:rsidR="006D64DD" w:rsidRPr="00D84D56" w:rsidRDefault="006D64DD" w:rsidP="00EB65AA">
      <w:pPr>
        <w:rPr>
          <w:szCs w:val="22"/>
          <w:lang w:val="en-GB" w:eastAsia="en-US"/>
        </w:rPr>
      </w:pPr>
    </w:p>
    <w:p w14:paraId="7D0B0ED1" w14:textId="77777777" w:rsidR="00C075BF" w:rsidRPr="00D84D56" w:rsidRDefault="00C075BF" w:rsidP="00C075BF">
      <w:pPr>
        <w:rPr>
          <w:rFonts w:cs="Arial"/>
          <w:color w:val="000000"/>
          <w:szCs w:val="22"/>
          <w:lang w:val="en-GB"/>
        </w:rPr>
      </w:pPr>
      <w:r>
        <w:rPr>
          <w:rFonts w:cs="Arial"/>
          <w:color w:val="000000"/>
          <w:szCs w:val="22"/>
          <w:lang w:val="en-GB"/>
        </w:rPr>
        <w:lastRenderedPageBreak/>
        <w:t>T</w:t>
      </w:r>
      <w:r w:rsidRPr="00D84D56">
        <w:rPr>
          <w:rFonts w:cs="Arial"/>
          <w:color w:val="000000"/>
          <w:szCs w:val="22"/>
          <w:lang w:val="en-GB"/>
        </w:rPr>
        <w:t>he Council recognise</w:t>
      </w:r>
      <w:r>
        <w:rPr>
          <w:rFonts w:cs="Arial"/>
          <w:color w:val="000000"/>
          <w:szCs w:val="22"/>
          <w:lang w:val="en-GB"/>
        </w:rPr>
        <w:t>s</w:t>
      </w:r>
      <w:r w:rsidRPr="00D84D56">
        <w:rPr>
          <w:rFonts w:cs="Arial"/>
          <w:color w:val="000000"/>
          <w:szCs w:val="22"/>
          <w:lang w:val="en-GB"/>
        </w:rPr>
        <w:t xml:space="preserve"> these identities and conditions as natural, valid, and meriting protection and support in relation to the individuals’ needs and challenges they may face.</w:t>
      </w:r>
    </w:p>
    <w:p w14:paraId="552B04E1" w14:textId="77777777" w:rsidR="00C075BF" w:rsidRDefault="00C075BF" w:rsidP="00E9012F">
      <w:pPr>
        <w:rPr>
          <w:szCs w:val="22"/>
          <w:lang w:val="en-GB" w:eastAsia="en-US"/>
        </w:rPr>
      </w:pPr>
    </w:p>
    <w:p w14:paraId="09AD7733" w14:textId="2C445985" w:rsidR="00AD46DB" w:rsidRPr="00C075BF" w:rsidRDefault="006D64DD" w:rsidP="00E9012F">
      <w:pPr>
        <w:rPr>
          <w:szCs w:val="22"/>
          <w:lang w:val="en-GB" w:eastAsia="en-US"/>
        </w:rPr>
      </w:pPr>
      <w:r w:rsidRPr="00D84D56">
        <w:rPr>
          <w:szCs w:val="22"/>
          <w:lang w:val="en-GB" w:eastAsia="en-US"/>
        </w:rPr>
        <w:t>B</w:t>
      </w:r>
      <w:r w:rsidR="004064F8" w:rsidRPr="00D84D56">
        <w:rPr>
          <w:szCs w:val="22"/>
          <w:lang w:val="en-GB" w:eastAsia="en-US"/>
        </w:rPr>
        <w:t xml:space="preserve">reaches of this </w:t>
      </w:r>
      <w:r w:rsidRPr="00D84D56">
        <w:rPr>
          <w:szCs w:val="22"/>
          <w:lang w:val="en-GB" w:eastAsia="en-US"/>
        </w:rPr>
        <w:t xml:space="preserve">guidance and </w:t>
      </w:r>
      <w:r w:rsidR="004064F8" w:rsidRPr="00D84D56">
        <w:rPr>
          <w:szCs w:val="22"/>
          <w:lang w:val="en-GB" w:eastAsia="en-US"/>
        </w:rPr>
        <w:t>policy will be dealt with under the Council’s Disciplinary Procedure.  Discrimination may be considered to be gross misconduct and may result in dismissal.</w:t>
      </w:r>
      <w:r w:rsidR="00C075BF">
        <w:rPr>
          <w:szCs w:val="22"/>
          <w:lang w:val="en-GB" w:eastAsia="en-US"/>
        </w:rPr>
        <w:t xml:space="preserve"> </w:t>
      </w:r>
      <w:r w:rsidR="00AD46DB" w:rsidRPr="00EE4CB7">
        <w:rPr>
          <w:lang w:val="en-GB"/>
        </w:rPr>
        <w:t xml:space="preserve">For more information around the above pieces of legislation, please </w:t>
      </w:r>
      <w:r w:rsidR="00272938">
        <w:rPr>
          <w:lang w:val="en-GB"/>
        </w:rPr>
        <w:t>refer to</w:t>
      </w:r>
      <w:r w:rsidR="00AD46DB" w:rsidRPr="00EE4CB7">
        <w:rPr>
          <w:lang w:val="en-GB"/>
        </w:rPr>
        <w:t xml:space="preserve"> </w:t>
      </w:r>
      <w:hyperlink w:anchor="_Appendix_1:_The" w:history="1">
        <w:r w:rsidR="00AD46DB" w:rsidRPr="00EE4CB7">
          <w:rPr>
            <w:rStyle w:val="Hyperlink"/>
            <w:lang w:val="en-GB"/>
          </w:rPr>
          <w:t>Appendix 1</w:t>
        </w:r>
        <w:r w:rsidR="00752D8A" w:rsidRPr="00EE4CB7">
          <w:rPr>
            <w:rStyle w:val="Hyperlink"/>
            <w:lang w:val="en-GB"/>
          </w:rPr>
          <w:t xml:space="preserve">: The </w:t>
        </w:r>
        <w:r w:rsidR="00EE2B26" w:rsidRPr="00EE4CB7">
          <w:rPr>
            <w:rStyle w:val="Hyperlink"/>
            <w:lang w:val="en-GB"/>
          </w:rPr>
          <w:t>l</w:t>
        </w:r>
        <w:r w:rsidR="00752D8A" w:rsidRPr="00EE4CB7">
          <w:rPr>
            <w:rStyle w:val="Hyperlink"/>
            <w:lang w:val="en-GB"/>
          </w:rPr>
          <w:t xml:space="preserve">egal </w:t>
        </w:r>
        <w:r w:rsidR="00EE2B26" w:rsidRPr="00EE4CB7">
          <w:rPr>
            <w:rStyle w:val="Hyperlink"/>
            <w:lang w:val="en-GB"/>
          </w:rPr>
          <w:t>f</w:t>
        </w:r>
        <w:r w:rsidR="00752D8A" w:rsidRPr="00EE4CB7">
          <w:rPr>
            <w:rStyle w:val="Hyperlink"/>
            <w:lang w:val="en-GB"/>
          </w:rPr>
          <w:t>ramework</w:t>
        </w:r>
      </w:hyperlink>
      <w:r w:rsidR="00AD46DB" w:rsidRPr="00EE4CB7">
        <w:rPr>
          <w:lang w:val="en-GB"/>
        </w:rPr>
        <w:t>.</w:t>
      </w:r>
    </w:p>
    <w:p w14:paraId="17A87C9E" w14:textId="77777777" w:rsidR="002F7FAB" w:rsidRPr="00D84D56" w:rsidRDefault="002F7FAB" w:rsidP="007B044D">
      <w:pPr>
        <w:rPr>
          <w:rFonts w:cs="Arial"/>
          <w:color w:val="000000"/>
          <w:szCs w:val="22"/>
          <w:lang w:val="en-GB"/>
        </w:rPr>
      </w:pPr>
    </w:p>
    <w:p w14:paraId="35C1871A" w14:textId="00EEF4B6" w:rsidR="002F7FAB" w:rsidRDefault="002F7FAB" w:rsidP="007B044D">
      <w:pPr>
        <w:rPr>
          <w:rFonts w:cs="Arial"/>
          <w:color w:val="000000"/>
          <w:szCs w:val="22"/>
          <w:lang w:val="en-GB"/>
        </w:rPr>
      </w:pPr>
      <w:r w:rsidRPr="00D84D56">
        <w:rPr>
          <w:rFonts w:cs="Arial"/>
          <w:color w:val="000000"/>
          <w:szCs w:val="22"/>
          <w:lang w:val="en-GB"/>
        </w:rPr>
        <w:t>All employees must report any breaches of this policy, whether by colleagues, clients or other third parties, to the appropriate line manager immediately. Individuals who witness an inappropriate behaviour do not have to identify as gender variant or intersex themselves in order to be offended and entitled to complain.</w:t>
      </w:r>
    </w:p>
    <w:p w14:paraId="6A2E8BC2" w14:textId="16B480AD" w:rsidR="00C075BF" w:rsidRDefault="00C075BF" w:rsidP="007B044D">
      <w:pPr>
        <w:rPr>
          <w:rFonts w:cs="Arial"/>
          <w:color w:val="000000"/>
          <w:szCs w:val="22"/>
          <w:lang w:val="en-GB"/>
        </w:rPr>
      </w:pPr>
    </w:p>
    <w:p w14:paraId="49424B86" w14:textId="576E71C5" w:rsidR="00C075BF" w:rsidRDefault="008E5B83" w:rsidP="00C075BF">
      <w:pPr>
        <w:rPr>
          <w:szCs w:val="22"/>
          <w:lang w:val="en-GB" w:eastAsia="en-US"/>
        </w:rPr>
      </w:pPr>
      <w:r>
        <w:rPr>
          <w:szCs w:val="22"/>
          <w:lang w:val="en-GB" w:eastAsia="en-US"/>
        </w:rPr>
        <w:t>T</w:t>
      </w:r>
      <w:r w:rsidR="00C075BF">
        <w:rPr>
          <w:szCs w:val="22"/>
          <w:lang w:val="en-GB" w:eastAsia="en-US"/>
        </w:rPr>
        <w:t xml:space="preserve">he council hopes that through constructive communication and training, managers can help staff acknowledge and overcome their biases and prejudice. This document can be a first port of call for staff </w:t>
      </w:r>
      <w:r w:rsidR="00173D93">
        <w:rPr>
          <w:szCs w:val="22"/>
          <w:lang w:val="en-GB" w:eastAsia="en-US"/>
        </w:rPr>
        <w:t xml:space="preserve">and Management </w:t>
      </w:r>
      <w:r w:rsidR="00C075BF">
        <w:rPr>
          <w:szCs w:val="22"/>
          <w:lang w:val="en-GB" w:eastAsia="en-US"/>
        </w:rPr>
        <w:t xml:space="preserve">awareness, while the </w:t>
      </w:r>
      <w:hyperlink w:anchor="_Appendix_4:_Sources" w:history="1">
        <w:r w:rsidR="00C075BF" w:rsidRPr="00C075BF">
          <w:rPr>
            <w:rStyle w:val="Hyperlink"/>
            <w:szCs w:val="22"/>
            <w:lang w:val="en-GB" w:eastAsia="en-US"/>
          </w:rPr>
          <w:t>Appendix 4: Sources of information, advice and support</w:t>
        </w:r>
      </w:hyperlink>
      <w:r w:rsidR="00C075BF">
        <w:rPr>
          <w:szCs w:val="22"/>
          <w:lang w:val="en-GB" w:eastAsia="en-US"/>
        </w:rPr>
        <w:t xml:space="preserve"> provides managers and staff with more ways to inform themselves and others.</w:t>
      </w:r>
      <w:r w:rsidR="00173D93">
        <w:rPr>
          <w:szCs w:val="22"/>
          <w:lang w:val="en-GB" w:eastAsia="en-US"/>
        </w:rPr>
        <w:t xml:space="preserve"> Further assistance can also be obtained from Human Resources.</w:t>
      </w:r>
    </w:p>
    <w:p w14:paraId="5C68B1C8" w14:textId="77777777" w:rsidR="00083D81" w:rsidRPr="00D84D56" w:rsidRDefault="00083D81" w:rsidP="00653F53">
      <w:pPr>
        <w:rPr>
          <w:lang w:val="en-GB" w:eastAsia="en-US"/>
        </w:rPr>
      </w:pPr>
    </w:p>
    <w:p w14:paraId="37792E7B" w14:textId="6405BFE3" w:rsidR="008C6C5A" w:rsidRPr="00D84D56" w:rsidRDefault="00A6463A" w:rsidP="001E0D51">
      <w:pPr>
        <w:pStyle w:val="Heading1"/>
        <w:rPr>
          <w:lang w:val="en-GB"/>
        </w:rPr>
      </w:pPr>
      <w:r>
        <w:rPr>
          <w:lang w:val="en-GB"/>
        </w:rPr>
        <w:t xml:space="preserve"> </w:t>
      </w:r>
      <w:r>
        <w:rPr>
          <w:lang w:val="en-GB"/>
        </w:rPr>
        <w:tab/>
      </w:r>
      <w:bookmarkStart w:id="3" w:name="_Toc19273735"/>
      <w:r w:rsidR="008C6C5A" w:rsidRPr="00D84D56">
        <w:rPr>
          <w:lang w:val="en-GB"/>
        </w:rPr>
        <w:t>Protected categories under this policy</w:t>
      </w:r>
      <w:bookmarkEnd w:id="3"/>
    </w:p>
    <w:p w14:paraId="3EF902F2" w14:textId="77777777" w:rsidR="00036603" w:rsidRPr="00D84D56" w:rsidRDefault="00036603" w:rsidP="00036603">
      <w:pPr>
        <w:rPr>
          <w:lang w:val="en-GB" w:eastAsia="en-US"/>
        </w:rPr>
      </w:pPr>
      <w:r w:rsidRPr="00D84D56">
        <w:rPr>
          <w:lang w:val="en-GB" w:eastAsia="en-US"/>
        </w:rPr>
        <w:t>Th</w:t>
      </w:r>
      <w:r w:rsidR="006E5EF2" w:rsidRPr="00D84D56">
        <w:rPr>
          <w:lang w:val="en-GB" w:eastAsia="en-US"/>
        </w:rPr>
        <w:t>is</w:t>
      </w:r>
      <w:r w:rsidRPr="00D84D56">
        <w:rPr>
          <w:lang w:val="en-GB" w:eastAsia="en-US"/>
        </w:rPr>
        <w:t xml:space="preserve"> section explore</w:t>
      </w:r>
      <w:r w:rsidR="006E5EF2" w:rsidRPr="00D84D56">
        <w:rPr>
          <w:lang w:val="en-GB" w:eastAsia="en-US"/>
        </w:rPr>
        <w:t>s the</w:t>
      </w:r>
      <w:r w:rsidRPr="00D84D56">
        <w:rPr>
          <w:lang w:val="en-GB" w:eastAsia="en-US"/>
        </w:rPr>
        <w:t xml:space="preserve"> notions</w:t>
      </w:r>
      <w:r w:rsidR="006E5EF2" w:rsidRPr="00D84D56">
        <w:rPr>
          <w:lang w:val="en-GB" w:eastAsia="en-US"/>
        </w:rPr>
        <w:t xml:space="preserve"> of trans, non-binary, and intersex,</w:t>
      </w:r>
      <w:r w:rsidRPr="00D84D56">
        <w:rPr>
          <w:lang w:val="en-GB" w:eastAsia="en-US"/>
        </w:rPr>
        <w:t xml:space="preserve"> </w:t>
      </w:r>
      <w:r w:rsidR="006E5EF2" w:rsidRPr="00D84D56">
        <w:rPr>
          <w:lang w:val="en-GB" w:eastAsia="en-US"/>
        </w:rPr>
        <w:t>in order to</w:t>
      </w:r>
      <w:r w:rsidRPr="00D84D56">
        <w:rPr>
          <w:lang w:val="en-GB" w:eastAsia="en-US"/>
        </w:rPr>
        <w:t xml:space="preserve"> acknowledge their existence, validity, and value as personalities and professionals. By doing so, the Council aims to raise awareness amongst its employees in order to enable the genuine inclusion of service users and staff with diverse experience of gender and/ or the intersex condition.</w:t>
      </w:r>
    </w:p>
    <w:p w14:paraId="71F2C4B8" w14:textId="77777777" w:rsidR="00036603" w:rsidRPr="00D84D56" w:rsidRDefault="00036603" w:rsidP="00036603">
      <w:pPr>
        <w:rPr>
          <w:lang w:val="en-GB" w:eastAsia="en-US"/>
        </w:rPr>
      </w:pPr>
    </w:p>
    <w:p w14:paraId="0971B9A3" w14:textId="77777777" w:rsidR="008C6C5A" w:rsidRPr="00D84D56" w:rsidRDefault="008C6C5A" w:rsidP="008C6C5A">
      <w:pPr>
        <w:pStyle w:val="Heading2"/>
        <w:ind w:left="-135"/>
        <w:rPr>
          <w:lang w:val="en-GB"/>
        </w:rPr>
      </w:pPr>
      <w:r w:rsidRPr="00D84D56">
        <w:rPr>
          <w:lang w:val="en-GB"/>
        </w:rPr>
        <w:t xml:space="preserve"> </w:t>
      </w:r>
      <w:r w:rsidRPr="00D84D56">
        <w:rPr>
          <w:lang w:val="en-GB"/>
        </w:rPr>
        <w:tab/>
      </w:r>
      <w:bookmarkStart w:id="4" w:name="_Toc19273736"/>
      <w:r w:rsidR="00AE760D" w:rsidRPr="00D84D56">
        <w:rPr>
          <w:lang w:val="en-GB"/>
        </w:rPr>
        <w:t xml:space="preserve">Gender </w:t>
      </w:r>
      <w:r w:rsidRPr="00D84D56">
        <w:rPr>
          <w:lang w:val="en-GB"/>
        </w:rPr>
        <w:t>d</w:t>
      </w:r>
      <w:r w:rsidR="00AE760D" w:rsidRPr="00D84D56">
        <w:rPr>
          <w:lang w:val="en-GB"/>
        </w:rPr>
        <w:t>iversity</w:t>
      </w:r>
      <w:bookmarkEnd w:id="4"/>
    </w:p>
    <w:p w14:paraId="6AEB602E" w14:textId="77777777" w:rsidR="008C6C5A" w:rsidRPr="00D84D56" w:rsidRDefault="00752D8A" w:rsidP="008C6C5A">
      <w:pPr>
        <w:rPr>
          <w:szCs w:val="22"/>
          <w:lang w:val="en-GB" w:eastAsia="en-US"/>
        </w:rPr>
      </w:pPr>
      <w:r w:rsidRPr="00D84D56">
        <w:rPr>
          <w:szCs w:val="22"/>
          <w:lang w:val="en-GB" w:eastAsia="en-US"/>
        </w:rPr>
        <w:t>This section aims to the two main umbrella terms of gender identity whilst recognising that the complexity and fluidity of the experience and terminology of gender may not be captured in their entirety</w:t>
      </w:r>
      <w:r w:rsidR="008C6C5A" w:rsidRPr="00D84D56">
        <w:rPr>
          <w:szCs w:val="22"/>
          <w:lang w:val="en-GB" w:eastAsia="en-US"/>
        </w:rPr>
        <w:t>.</w:t>
      </w:r>
    </w:p>
    <w:p w14:paraId="62D5A6DD" w14:textId="77777777" w:rsidR="008C6C5A" w:rsidRPr="00D84D56" w:rsidRDefault="008C6C5A" w:rsidP="008C6C5A">
      <w:pPr>
        <w:rPr>
          <w:szCs w:val="22"/>
          <w:lang w:val="en-GB" w:eastAsia="en-US"/>
        </w:rPr>
      </w:pPr>
    </w:p>
    <w:p w14:paraId="396F6AB1" w14:textId="3040021B" w:rsidR="008C6C5A" w:rsidRPr="00D84D56" w:rsidRDefault="003741EE" w:rsidP="008C6C5A">
      <w:pPr>
        <w:rPr>
          <w:szCs w:val="22"/>
          <w:lang w:val="en-GB" w:eastAsia="en-US"/>
        </w:rPr>
      </w:pPr>
      <w:r>
        <w:rPr>
          <w:szCs w:val="22"/>
          <w:lang w:val="en-GB" w:eastAsia="en-US"/>
        </w:rPr>
        <w:t xml:space="preserve">Please refer to </w:t>
      </w:r>
      <w:hyperlink w:anchor="_Appendix_2:_Gender" w:history="1">
        <w:r w:rsidR="008C6C5A" w:rsidRPr="00D84D56">
          <w:rPr>
            <w:rStyle w:val="Hyperlink"/>
            <w:szCs w:val="22"/>
            <w:lang w:val="en-GB" w:eastAsia="en-US"/>
          </w:rPr>
          <w:t>Appendix 2</w:t>
        </w:r>
      </w:hyperlink>
      <w:r w:rsidR="00AF1BB5">
        <w:rPr>
          <w:rStyle w:val="Hyperlink"/>
          <w:szCs w:val="22"/>
          <w:lang w:val="en-GB" w:eastAsia="en-US"/>
        </w:rPr>
        <w:t>: Gender Identity and Expression and Intersex terminology</w:t>
      </w:r>
      <w:r w:rsidR="00752D8A" w:rsidRPr="00D84D56">
        <w:rPr>
          <w:szCs w:val="22"/>
          <w:lang w:val="en-GB" w:eastAsia="en-US"/>
        </w:rPr>
        <w:t xml:space="preserve"> for more terms and their definitions</w:t>
      </w:r>
      <w:r w:rsidR="008C6C5A" w:rsidRPr="00D84D56">
        <w:rPr>
          <w:szCs w:val="22"/>
          <w:lang w:val="en-GB" w:eastAsia="en-US"/>
        </w:rPr>
        <w:t>.</w:t>
      </w:r>
    </w:p>
    <w:p w14:paraId="025CCC31" w14:textId="77777777" w:rsidR="008C6C5A" w:rsidRPr="00D84D56" w:rsidRDefault="008C6C5A" w:rsidP="008C6C5A">
      <w:pPr>
        <w:rPr>
          <w:lang w:val="en-GB" w:eastAsia="en-US"/>
        </w:rPr>
      </w:pPr>
    </w:p>
    <w:p w14:paraId="3D1216A5" w14:textId="02E54905" w:rsidR="008C6C5A" w:rsidRPr="00D84D56" w:rsidRDefault="00843519" w:rsidP="00843519">
      <w:pPr>
        <w:pStyle w:val="Heading2"/>
        <w:numPr>
          <w:ilvl w:val="2"/>
          <w:numId w:val="1"/>
        </w:numPr>
        <w:tabs>
          <w:tab w:val="left" w:pos="0"/>
        </w:tabs>
        <w:ind w:left="-63"/>
        <w:rPr>
          <w:lang w:val="en-GB"/>
        </w:rPr>
      </w:pPr>
      <w:bookmarkStart w:id="5" w:name="_Toc19273737"/>
      <w:r>
        <w:rPr>
          <w:lang w:val="en-GB"/>
        </w:rPr>
        <w:t xml:space="preserve"> </w:t>
      </w:r>
      <w:r w:rsidR="008C6C5A" w:rsidRPr="00D84D56">
        <w:rPr>
          <w:lang w:val="en-GB"/>
        </w:rPr>
        <w:t>Transgender</w:t>
      </w:r>
      <w:bookmarkEnd w:id="5"/>
    </w:p>
    <w:p w14:paraId="1101636C" w14:textId="78D7069F" w:rsidR="008818DB" w:rsidRPr="00D84D56" w:rsidRDefault="008818DB" w:rsidP="00AE760D">
      <w:pPr>
        <w:rPr>
          <w:rFonts w:cs="Arial"/>
          <w:color w:val="000000"/>
          <w:szCs w:val="22"/>
          <w:lang w:val="en-GB"/>
        </w:rPr>
      </w:pPr>
      <w:r w:rsidRPr="00D84D56">
        <w:rPr>
          <w:rFonts w:cs="Arial"/>
          <w:color w:val="000000"/>
          <w:szCs w:val="22"/>
          <w:lang w:val="en-GB"/>
        </w:rPr>
        <w:t xml:space="preserve">A contemporary understanding of the term ‘trans’ is that of an umbrella term for a person whose gender identity or expression differs from their assigned at birth sex. This may include people whose gender identity is opposite to their </w:t>
      </w:r>
      <w:r w:rsidR="00C145FB">
        <w:rPr>
          <w:rFonts w:cs="Arial"/>
          <w:color w:val="000000"/>
          <w:szCs w:val="22"/>
          <w:lang w:val="en-GB"/>
        </w:rPr>
        <w:t xml:space="preserve">sex </w:t>
      </w:r>
      <w:r w:rsidRPr="00D84D56">
        <w:rPr>
          <w:rFonts w:cs="Arial"/>
          <w:color w:val="000000"/>
          <w:szCs w:val="22"/>
          <w:lang w:val="en-GB"/>
        </w:rPr>
        <w:t>assigned at birth (</w:t>
      </w:r>
      <w:r w:rsidR="00C953B3">
        <w:rPr>
          <w:rFonts w:cs="Arial"/>
          <w:color w:val="000000"/>
          <w:szCs w:val="22"/>
          <w:lang w:val="en-GB"/>
        </w:rPr>
        <w:t xml:space="preserve">for example, </w:t>
      </w:r>
      <w:r w:rsidRPr="00D84D56">
        <w:rPr>
          <w:rFonts w:cs="Arial"/>
          <w:color w:val="000000"/>
          <w:szCs w:val="22"/>
          <w:lang w:val="en-GB"/>
        </w:rPr>
        <w:t xml:space="preserve">trans woman who was assigned the sex ‘male’ at birth) or people who </w:t>
      </w:r>
      <w:r w:rsidR="006B4B42" w:rsidRPr="00D84D56">
        <w:rPr>
          <w:rFonts w:cs="Arial"/>
          <w:color w:val="000000"/>
          <w:szCs w:val="22"/>
          <w:lang w:val="en-GB"/>
        </w:rPr>
        <w:t>do not self-identify as</w:t>
      </w:r>
      <w:r w:rsidRPr="00D84D56">
        <w:rPr>
          <w:rFonts w:cs="Arial"/>
          <w:color w:val="000000"/>
          <w:szCs w:val="22"/>
          <w:lang w:val="en-GB"/>
        </w:rPr>
        <w:t xml:space="preserve"> exclusively female or male (can be either or, </w:t>
      </w:r>
      <w:r w:rsidR="00C01645" w:rsidRPr="00D84D56">
        <w:rPr>
          <w:rFonts w:cs="Arial"/>
          <w:color w:val="000000"/>
          <w:szCs w:val="22"/>
          <w:lang w:val="en-GB"/>
        </w:rPr>
        <w:t xml:space="preserve">both, </w:t>
      </w:r>
      <w:r w:rsidRPr="00D84D56">
        <w:rPr>
          <w:rFonts w:cs="Arial"/>
          <w:color w:val="000000"/>
          <w:szCs w:val="22"/>
          <w:lang w:val="en-GB"/>
        </w:rPr>
        <w:t>something in between, or neither</w:t>
      </w:r>
      <w:r w:rsidR="00C01645" w:rsidRPr="00D84D56">
        <w:rPr>
          <w:rFonts w:cs="Arial"/>
          <w:color w:val="000000"/>
          <w:szCs w:val="22"/>
          <w:lang w:val="en-GB"/>
        </w:rPr>
        <w:t xml:space="preserve"> of the two</w:t>
      </w:r>
      <w:r w:rsidRPr="00D84D56">
        <w:rPr>
          <w:rFonts w:cs="Arial"/>
          <w:color w:val="000000"/>
          <w:szCs w:val="22"/>
          <w:lang w:val="en-GB"/>
        </w:rPr>
        <w:t>).</w:t>
      </w:r>
    </w:p>
    <w:p w14:paraId="7DA77288" w14:textId="77777777" w:rsidR="007B044D" w:rsidRPr="00D84D56" w:rsidRDefault="007B044D" w:rsidP="00AE760D">
      <w:pPr>
        <w:rPr>
          <w:szCs w:val="22"/>
          <w:lang w:val="en-GB" w:eastAsia="en-US"/>
        </w:rPr>
      </w:pPr>
    </w:p>
    <w:p w14:paraId="1BE1D2A8" w14:textId="6DDEAB52" w:rsidR="00983FC7" w:rsidRPr="00D84D56" w:rsidRDefault="00C01645" w:rsidP="00AE760D">
      <w:pPr>
        <w:rPr>
          <w:szCs w:val="22"/>
          <w:lang w:val="en-GB" w:eastAsia="en-US"/>
        </w:rPr>
      </w:pPr>
      <w:r w:rsidRPr="00D84D56">
        <w:rPr>
          <w:szCs w:val="22"/>
          <w:lang w:val="en-GB" w:eastAsia="en-US"/>
        </w:rPr>
        <w:t>Transition is a complex</w:t>
      </w:r>
      <w:r w:rsidR="00983FC7" w:rsidRPr="00D84D56">
        <w:rPr>
          <w:szCs w:val="22"/>
          <w:lang w:val="en-GB" w:eastAsia="en-US"/>
        </w:rPr>
        <w:t>, highly personal</w:t>
      </w:r>
      <w:r w:rsidRPr="00D84D56">
        <w:rPr>
          <w:szCs w:val="22"/>
          <w:lang w:val="en-GB" w:eastAsia="en-US"/>
        </w:rPr>
        <w:t>, life-altering process</w:t>
      </w:r>
      <w:r w:rsidR="00983FC7" w:rsidRPr="00D84D56">
        <w:rPr>
          <w:szCs w:val="22"/>
          <w:lang w:val="en-GB" w:eastAsia="en-US"/>
        </w:rPr>
        <w:t>, where the individual is most likely to require the Council’s support. It can be seen as a threefold process: social, medical, and legal. Not every person undergoing transition will choose to follow all steps or in the same order</w:t>
      </w:r>
      <w:r w:rsidR="006E5EF2" w:rsidRPr="00D84D56">
        <w:rPr>
          <w:szCs w:val="22"/>
          <w:lang w:val="en-GB" w:eastAsia="en-US"/>
        </w:rPr>
        <w:t>. Trans people are the experts in their own life</w:t>
      </w:r>
      <w:r w:rsidR="00EE4CB7">
        <w:rPr>
          <w:szCs w:val="22"/>
          <w:lang w:val="en-GB" w:eastAsia="en-US"/>
        </w:rPr>
        <w:t>.</w:t>
      </w:r>
    </w:p>
    <w:p w14:paraId="415B2543" w14:textId="77777777" w:rsidR="00983FC7" w:rsidRPr="00D84D56" w:rsidRDefault="00983FC7" w:rsidP="00AE760D">
      <w:pPr>
        <w:rPr>
          <w:szCs w:val="22"/>
          <w:lang w:val="en-GB" w:eastAsia="en-US"/>
        </w:rPr>
      </w:pPr>
    </w:p>
    <w:p w14:paraId="60B157F3" w14:textId="77777777" w:rsidR="00983FC7" w:rsidRPr="00D84D56" w:rsidRDefault="00983FC7" w:rsidP="00AE760D">
      <w:pPr>
        <w:rPr>
          <w:szCs w:val="22"/>
          <w:lang w:val="en-GB" w:eastAsia="en-US"/>
        </w:rPr>
      </w:pPr>
      <w:r w:rsidRPr="00D84D56">
        <w:rPr>
          <w:szCs w:val="22"/>
          <w:lang w:val="en-GB" w:eastAsia="en-US"/>
        </w:rPr>
        <w:t>A person can be at any stage in the transition process: from proposing to reassign their gender, to undergoing a process to reassign their gender, or having completed it.</w:t>
      </w:r>
    </w:p>
    <w:p w14:paraId="0E87F29A" w14:textId="77777777" w:rsidR="00983FC7" w:rsidRPr="00D84D56" w:rsidRDefault="00983FC7" w:rsidP="00AE760D">
      <w:pPr>
        <w:rPr>
          <w:szCs w:val="22"/>
          <w:lang w:val="en-GB" w:eastAsia="en-US"/>
        </w:rPr>
      </w:pPr>
    </w:p>
    <w:p w14:paraId="1072B1F3" w14:textId="2979588E" w:rsidR="00295247" w:rsidRPr="00D84D56" w:rsidRDefault="00983FC7" w:rsidP="00AE760D">
      <w:pPr>
        <w:rPr>
          <w:szCs w:val="22"/>
          <w:lang w:val="en-GB" w:eastAsia="en-US"/>
        </w:rPr>
      </w:pPr>
      <w:r w:rsidRPr="00D84D56">
        <w:rPr>
          <w:szCs w:val="22"/>
          <w:lang w:val="en-GB" w:eastAsia="en-US"/>
        </w:rPr>
        <w:t xml:space="preserve">For more information on how employers can support a trans person who decides to transition, </w:t>
      </w:r>
      <w:r w:rsidR="00EE4CB7">
        <w:rPr>
          <w:szCs w:val="22"/>
          <w:lang w:val="en-GB" w:eastAsia="en-US"/>
        </w:rPr>
        <w:t xml:space="preserve">please refer to </w:t>
      </w:r>
      <w:hyperlink w:anchor="_Appendix_3:_The" w:history="1">
        <w:r w:rsidR="00295247" w:rsidRPr="00D84D56">
          <w:rPr>
            <w:rStyle w:val="Hyperlink"/>
            <w:szCs w:val="22"/>
            <w:lang w:val="en-GB" w:eastAsia="en-US"/>
          </w:rPr>
          <w:t>Appendix</w:t>
        </w:r>
        <w:r w:rsidR="005744E4" w:rsidRPr="00D84D56">
          <w:rPr>
            <w:rStyle w:val="Hyperlink"/>
            <w:szCs w:val="22"/>
            <w:lang w:val="en-GB" w:eastAsia="en-US"/>
          </w:rPr>
          <w:t xml:space="preserve"> 3: The </w:t>
        </w:r>
        <w:r w:rsidR="00EE2B26" w:rsidRPr="00D84D56">
          <w:rPr>
            <w:rStyle w:val="Hyperlink"/>
            <w:szCs w:val="22"/>
            <w:lang w:val="en-GB" w:eastAsia="en-US"/>
          </w:rPr>
          <w:t>t</w:t>
        </w:r>
        <w:r w:rsidR="005744E4" w:rsidRPr="00D84D56">
          <w:rPr>
            <w:rStyle w:val="Hyperlink"/>
            <w:szCs w:val="22"/>
            <w:lang w:val="en-GB" w:eastAsia="en-US"/>
          </w:rPr>
          <w:t xml:space="preserve">ransition </w:t>
        </w:r>
        <w:r w:rsidR="00EE2B26" w:rsidRPr="00D84D56">
          <w:rPr>
            <w:rStyle w:val="Hyperlink"/>
            <w:szCs w:val="22"/>
            <w:lang w:val="en-GB" w:eastAsia="en-US"/>
          </w:rPr>
          <w:t>p</w:t>
        </w:r>
        <w:r w:rsidR="005744E4" w:rsidRPr="00D84D56">
          <w:rPr>
            <w:rStyle w:val="Hyperlink"/>
            <w:szCs w:val="22"/>
            <w:lang w:val="en-GB" w:eastAsia="en-US"/>
          </w:rPr>
          <w:t>rocess</w:t>
        </w:r>
      </w:hyperlink>
      <w:r w:rsidR="006F3B3A">
        <w:rPr>
          <w:szCs w:val="22"/>
          <w:lang w:val="en-GB" w:eastAsia="en-US"/>
        </w:rPr>
        <w:t xml:space="preserve"> for further information.</w:t>
      </w:r>
    </w:p>
    <w:p w14:paraId="1B216D01" w14:textId="194379C4" w:rsidR="00295247" w:rsidRDefault="00295247" w:rsidP="00AE760D">
      <w:pPr>
        <w:rPr>
          <w:szCs w:val="22"/>
          <w:lang w:val="en-GB" w:eastAsia="en-US"/>
        </w:rPr>
      </w:pPr>
    </w:p>
    <w:p w14:paraId="4CA3026F" w14:textId="77777777" w:rsidR="00155044" w:rsidRPr="00D84D56" w:rsidRDefault="00155044" w:rsidP="00AE760D">
      <w:pPr>
        <w:rPr>
          <w:szCs w:val="22"/>
          <w:lang w:val="en-GB" w:eastAsia="en-US"/>
        </w:rPr>
      </w:pPr>
    </w:p>
    <w:p w14:paraId="6C5F7BE7" w14:textId="7093B6F4" w:rsidR="00AE760D" w:rsidRPr="00D84D56" w:rsidRDefault="00843519" w:rsidP="00843519">
      <w:pPr>
        <w:pStyle w:val="Heading2"/>
        <w:numPr>
          <w:ilvl w:val="2"/>
          <w:numId w:val="1"/>
        </w:numPr>
        <w:tabs>
          <w:tab w:val="left" w:pos="0"/>
        </w:tabs>
        <w:ind w:left="-63"/>
        <w:rPr>
          <w:lang w:val="en-GB"/>
        </w:rPr>
      </w:pPr>
      <w:bookmarkStart w:id="6" w:name="_Toc19273738"/>
      <w:r>
        <w:rPr>
          <w:lang w:val="en-GB"/>
        </w:rPr>
        <w:lastRenderedPageBreak/>
        <w:t xml:space="preserve"> </w:t>
      </w:r>
      <w:r w:rsidR="00AE760D" w:rsidRPr="00D84D56">
        <w:rPr>
          <w:lang w:val="en-GB"/>
        </w:rPr>
        <w:t>Non-binary</w:t>
      </w:r>
      <w:bookmarkEnd w:id="6"/>
    </w:p>
    <w:p w14:paraId="26214421" w14:textId="45846B7B" w:rsidR="00AF3E71" w:rsidRPr="00D84D56" w:rsidRDefault="008B549A" w:rsidP="00653F53">
      <w:pPr>
        <w:rPr>
          <w:szCs w:val="22"/>
          <w:lang w:val="en-GB" w:eastAsia="en-US"/>
        </w:rPr>
      </w:pPr>
      <w:r w:rsidRPr="00D84D56">
        <w:rPr>
          <w:szCs w:val="22"/>
          <w:lang w:val="en-GB" w:eastAsia="en-US"/>
        </w:rPr>
        <w:t xml:space="preserve">This term is largely related to the term ‘trans’, </w:t>
      </w:r>
      <w:r w:rsidR="006B4B42" w:rsidRPr="00D84D56">
        <w:rPr>
          <w:szCs w:val="22"/>
          <w:lang w:val="en-GB" w:eastAsia="en-US"/>
        </w:rPr>
        <w:t>with the difference that a non-binary person does not self-identify as exclusively male or female</w:t>
      </w:r>
      <w:r w:rsidR="00AF3E71" w:rsidRPr="00D84D56">
        <w:rPr>
          <w:szCs w:val="22"/>
          <w:lang w:val="en-GB" w:eastAsia="en-US"/>
        </w:rPr>
        <w:t>. Alternative terms are: ‘genderqueer’, ‘gender non-conforming’, or ‘gender variant’.</w:t>
      </w:r>
      <w:r w:rsidR="00F36F7D">
        <w:rPr>
          <w:szCs w:val="22"/>
          <w:lang w:val="en-GB" w:eastAsia="en-US"/>
        </w:rPr>
        <w:t xml:space="preserve"> Please refer to the </w:t>
      </w:r>
      <w:hyperlink w:anchor="_Appendix_2:_Gender" w:history="1">
        <w:r w:rsidR="00AF1BB5" w:rsidRPr="00D84D56">
          <w:rPr>
            <w:rStyle w:val="Hyperlink"/>
            <w:szCs w:val="22"/>
            <w:lang w:val="en-GB" w:eastAsia="en-US"/>
          </w:rPr>
          <w:t>Appendix 2</w:t>
        </w:r>
      </w:hyperlink>
      <w:r w:rsidR="00AF1BB5">
        <w:rPr>
          <w:rStyle w:val="Hyperlink"/>
          <w:szCs w:val="22"/>
          <w:lang w:val="en-GB" w:eastAsia="en-US"/>
        </w:rPr>
        <w:t>: Gender Identity and Expression and Intersex terminology</w:t>
      </w:r>
      <w:r w:rsidR="00F36F7D">
        <w:rPr>
          <w:szCs w:val="22"/>
          <w:lang w:val="en-GB" w:eastAsia="en-US"/>
        </w:rPr>
        <w:t>.</w:t>
      </w:r>
    </w:p>
    <w:p w14:paraId="653F7F87" w14:textId="77777777" w:rsidR="00AF3E71" w:rsidRPr="00D84D56" w:rsidRDefault="00AF3E71" w:rsidP="00653F53">
      <w:pPr>
        <w:rPr>
          <w:szCs w:val="22"/>
          <w:lang w:val="en-GB" w:eastAsia="en-US"/>
        </w:rPr>
      </w:pPr>
    </w:p>
    <w:p w14:paraId="500C3A34" w14:textId="77777777" w:rsidR="004B30E2" w:rsidRPr="00D84D56" w:rsidRDefault="00AF3E71" w:rsidP="00653F53">
      <w:pPr>
        <w:rPr>
          <w:szCs w:val="22"/>
          <w:lang w:val="en-GB" w:eastAsia="en-US"/>
        </w:rPr>
      </w:pPr>
      <w:r w:rsidRPr="00D84D56">
        <w:rPr>
          <w:szCs w:val="22"/>
          <w:lang w:val="en-GB" w:eastAsia="en-US"/>
        </w:rPr>
        <w:t>There are numerous sub-types under the ‘non-binary’ umbrella, which</w:t>
      </w:r>
      <w:r w:rsidR="006B4B42" w:rsidRPr="00D84D56">
        <w:rPr>
          <w:szCs w:val="22"/>
          <w:lang w:val="en-GB" w:eastAsia="en-US"/>
        </w:rPr>
        <w:t xml:space="preserve"> are outside the gender binary by</w:t>
      </w:r>
      <w:r w:rsidR="004B30E2" w:rsidRPr="00D84D56">
        <w:rPr>
          <w:szCs w:val="22"/>
          <w:lang w:val="en-GB" w:eastAsia="en-US"/>
        </w:rPr>
        <w:t>:</w:t>
      </w:r>
    </w:p>
    <w:p w14:paraId="0021C6C5" w14:textId="77777777" w:rsidR="004B30E2" w:rsidRPr="00D84D56" w:rsidRDefault="006B4B42" w:rsidP="003741EE">
      <w:pPr>
        <w:numPr>
          <w:ilvl w:val="0"/>
          <w:numId w:val="30"/>
        </w:numPr>
        <w:ind w:left="567" w:hanging="567"/>
        <w:rPr>
          <w:szCs w:val="22"/>
          <w:lang w:val="en-GB" w:eastAsia="en-US"/>
        </w:rPr>
      </w:pPr>
      <w:r w:rsidRPr="00D84D56">
        <w:rPr>
          <w:szCs w:val="22"/>
          <w:lang w:val="en-GB" w:eastAsia="en-US"/>
        </w:rPr>
        <w:t>self-identifying as having two or more genders (bi</w:t>
      </w:r>
      <w:r w:rsidR="00AF3E71" w:rsidRPr="00D84D56">
        <w:rPr>
          <w:szCs w:val="22"/>
          <w:lang w:val="en-GB" w:eastAsia="en-US"/>
        </w:rPr>
        <w:t>gender or trigender)</w:t>
      </w:r>
      <w:r w:rsidR="004B30E2" w:rsidRPr="00D84D56">
        <w:rPr>
          <w:szCs w:val="22"/>
          <w:lang w:val="en-GB" w:eastAsia="en-US"/>
        </w:rPr>
        <w:t>;</w:t>
      </w:r>
    </w:p>
    <w:p w14:paraId="2AD319EE" w14:textId="77777777" w:rsidR="004B30E2" w:rsidRPr="00D84D56" w:rsidRDefault="00AF3E71" w:rsidP="003741EE">
      <w:pPr>
        <w:numPr>
          <w:ilvl w:val="0"/>
          <w:numId w:val="30"/>
        </w:numPr>
        <w:ind w:left="567" w:hanging="567"/>
        <w:rPr>
          <w:szCs w:val="22"/>
          <w:lang w:val="en-GB" w:eastAsia="en-US"/>
        </w:rPr>
      </w:pPr>
      <w:r w:rsidRPr="00D84D56">
        <w:rPr>
          <w:szCs w:val="22"/>
          <w:lang w:val="en-GB" w:eastAsia="en-US"/>
        </w:rPr>
        <w:t>fluctuating between genders (gender fluid)</w:t>
      </w:r>
      <w:r w:rsidR="004B30E2" w:rsidRPr="00D84D56">
        <w:rPr>
          <w:szCs w:val="22"/>
          <w:lang w:val="en-GB" w:eastAsia="en-US"/>
        </w:rPr>
        <w:t>;</w:t>
      </w:r>
      <w:r w:rsidRPr="00D84D56">
        <w:rPr>
          <w:szCs w:val="22"/>
          <w:lang w:val="en-GB" w:eastAsia="en-US"/>
        </w:rPr>
        <w:t xml:space="preserve"> or</w:t>
      </w:r>
    </w:p>
    <w:p w14:paraId="7F96994C" w14:textId="77777777" w:rsidR="008B549A" w:rsidRPr="00D84D56" w:rsidRDefault="00AF3E71" w:rsidP="003741EE">
      <w:pPr>
        <w:numPr>
          <w:ilvl w:val="0"/>
          <w:numId w:val="30"/>
        </w:numPr>
        <w:ind w:left="567" w:hanging="567"/>
        <w:rPr>
          <w:szCs w:val="22"/>
          <w:lang w:val="en-GB" w:eastAsia="en-US"/>
        </w:rPr>
      </w:pPr>
      <w:r w:rsidRPr="00D84D56">
        <w:rPr>
          <w:szCs w:val="22"/>
          <w:lang w:val="en-GB" w:eastAsia="en-US"/>
        </w:rPr>
        <w:t>by having no gender (agender)</w:t>
      </w:r>
      <w:r w:rsidR="004B30E2" w:rsidRPr="00D84D56">
        <w:rPr>
          <w:szCs w:val="22"/>
          <w:lang w:val="en-GB" w:eastAsia="en-US"/>
        </w:rPr>
        <w:t xml:space="preserve"> etc.</w:t>
      </w:r>
    </w:p>
    <w:p w14:paraId="4F83FF08" w14:textId="77777777" w:rsidR="00630BDC" w:rsidRPr="00D84D56" w:rsidRDefault="00630BDC" w:rsidP="00653F53">
      <w:pPr>
        <w:rPr>
          <w:szCs w:val="22"/>
          <w:lang w:val="en-GB" w:eastAsia="en-US"/>
        </w:rPr>
      </w:pPr>
    </w:p>
    <w:p w14:paraId="15DBAAA7" w14:textId="77777777" w:rsidR="001E0D51" w:rsidRPr="00D84D56" w:rsidRDefault="008C6C5A" w:rsidP="008C6C5A">
      <w:pPr>
        <w:pStyle w:val="Heading2"/>
        <w:ind w:left="-135"/>
        <w:rPr>
          <w:lang w:val="en-GB"/>
        </w:rPr>
      </w:pPr>
      <w:r w:rsidRPr="00D84D56">
        <w:rPr>
          <w:lang w:val="en-GB"/>
        </w:rPr>
        <w:t xml:space="preserve"> </w:t>
      </w:r>
      <w:r w:rsidRPr="00D84D56">
        <w:rPr>
          <w:lang w:val="en-GB"/>
        </w:rPr>
        <w:tab/>
      </w:r>
      <w:bookmarkStart w:id="7" w:name="_Toc19273739"/>
      <w:r w:rsidR="00AE760D" w:rsidRPr="00D84D56">
        <w:rPr>
          <w:lang w:val="en-GB"/>
        </w:rPr>
        <w:t>Intersex</w:t>
      </w:r>
      <w:bookmarkEnd w:id="7"/>
    </w:p>
    <w:p w14:paraId="272E8CDB" w14:textId="7CE39503" w:rsidR="00121CE4" w:rsidRPr="00D84D56" w:rsidRDefault="00121CE4" w:rsidP="00AE760D">
      <w:pPr>
        <w:rPr>
          <w:rFonts w:cs="Arial"/>
          <w:lang w:val="en-GB"/>
        </w:rPr>
      </w:pPr>
      <w:r w:rsidRPr="00D84D56">
        <w:rPr>
          <w:rFonts w:cs="Arial"/>
          <w:lang w:val="en-GB"/>
        </w:rPr>
        <w:t>This term refers to people with a</w:t>
      </w:r>
      <w:r w:rsidR="00E619FE" w:rsidRPr="00D84D56">
        <w:rPr>
          <w:rFonts w:cs="Arial"/>
          <w:lang w:val="en-GB"/>
        </w:rPr>
        <w:t xml:space="preserve"> combination of features that</w:t>
      </w:r>
      <w:r w:rsidRPr="00D84D56">
        <w:rPr>
          <w:rFonts w:cs="Arial"/>
          <w:lang w:val="en-GB"/>
        </w:rPr>
        <w:t xml:space="preserve"> conventionally</w:t>
      </w:r>
      <w:r w:rsidR="00E619FE" w:rsidRPr="00D84D56">
        <w:rPr>
          <w:rFonts w:cs="Arial"/>
          <w:lang w:val="en-GB"/>
        </w:rPr>
        <w:t xml:space="preserve"> distinguish ‘male’ and ‘female’ anatomy</w:t>
      </w:r>
      <w:r w:rsidRPr="00D84D56">
        <w:rPr>
          <w:rFonts w:cs="Arial"/>
          <w:lang w:val="en-GB"/>
        </w:rPr>
        <w:t>, organs, hormones, or chromosomes. This is</w:t>
      </w:r>
      <w:bookmarkStart w:id="8" w:name="_Hlk17371484"/>
      <w:r w:rsidRPr="00D84D56">
        <w:rPr>
          <w:lang w:val="en-GB"/>
        </w:rPr>
        <w:t xml:space="preserve"> </w:t>
      </w:r>
      <w:r w:rsidRPr="00D84D56">
        <w:rPr>
          <w:rFonts w:cs="Arial"/>
          <w:lang w:val="en-GB"/>
        </w:rPr>
        <w:t>a naturally occurring variation of human development</w:t>
      </w:r>
      <w:bookmarkEnd w:id="8"/>
      <w:r w:rsidRPr="00D84D56">
        <w:rPr>
          <w:rFonts w:cs="Arial"/>
          <w:lang w:val="en-GB"/>
        </w:rPr>
        <w:t xml:space="preserve"> that nature presents us with</w:t>
      </w:r>
      <w:r w:rsidR="00E619FE" w:rsidRPr="00D84D56">
        <w:rPr>
          <w:rFonts w:cs="Arial"/>
          <w:lang w:val="en-GB"/>
        </w:rPr>
        <w:t>.</w:t>
      </w:r>
    </w:p>
    <w:p w14:paraId="3FDE6C46" w14:textId="7AD569DE" w:rsidR="00121CE4" w:rsidRDefault="00121CE4" w:rsidP="00AE760D">
      <w:pPr>
        <w:rPr>
          <w:rFonts w:cs="Arial"/>
          <w:lang w:val="en-GB"/>
        </w:rPr>
      </w:pPr>
    </w:p>
    <w:p w14:paraId="314AF4CE" w14:textId="441FDDDD" w:rsidR="00413C8A" w:rsidRPr="00D84D56" w:rsidRDefault="00413C8A" w:rsidP="00413C8A">
      <w:pPr>
        <w:rPr>
          <w:rFonts w:cs="Arial"/>
          <w:lang w:val="en-GB"/>
        </w:rPr>
      </w:pPr>
      <w:r w:rsidRPr="00D84D56">
        <w:rPr>
          <w:rFonts w:cs="Arial"/>
          <w:lang w:val="en-GB"/>
        </w:rPr>
        <w:t>Intersex is not a discreet or homogeneous category</w:t>
      </w:r>
      <w:r>
        <w:rPr>
          <w:rFonts w:cs="Arial"/>
          <w:lang w:val="en-GB"/>
        </w:rPr>
        <w:t xml:space="preserve"> of certain sex characteristics</w:t>
      </w:r>
      <w:r w:rsidRPr="00D84D56">
        <w:rPr>
          <w:rFonts w:cs="Arial"/>
          <w:lang w:val="en-GB"/>
        </w:rPr>
        <w:t xml:space="preserve">. </w:t>
      </w:r>
      <w:r>
        <w:rPr>
          <w:rFonts w:cs="Arial"/>
          <w:lang w:val="en-GB"/>
        </w:rPr>
        <w:t>In contradiction with the</w:t>
      </w:r>
      <w:r w:rsidRPr="00D84D56">
        <w:rPr>
          <w:rFonts w:cs="Arial"/>
          <w:lang w:val="en-GB"/>
        </w:rPr>
        <w:t xml:space="preserve"> binary social construct of ‘sex’</w:t>
      </w:r>
      <w:r>
        <w:rPr>
          <w:rFonts w:cs="Arial"/>
          <w:lang w:val="en-GB"/>
        </w:rPr>
        <w:t xml:space="preserve"> (male vs. female)</w:t>
      </w:r>
      <w:r w:rsidRPr="00D84D56">
        <w:rPr>
          <w:rFonts w:cs="Arial"/>
          <w:lang w:val="en-GB"/>
        </w:rPr>
        <w:t>, intersex is a category that reflects a natural biological variation.</w:t>
      </w:r>
      <w:r>
        <w:rPr>
          <w:rFonts w:cs="Arial"/>
          <w:lang w:val="en-GB"/>
        </w:rPr>
        <w:t xml:space="preserve"> In practice, what a given culture may see as a ‘female’ organ may coexist on the same person with an organ that is conventionally seen as ‘male’.</w:t>
      </w:r>
    </w:p>
    <w:p w14:paraId="684B716B" w14:textId="77777777" w:rsidR="00413C8A" w:rsidRPr="00D84D56" w:rsidRDefault="00413C8A" w:rsidP="00AE760D">
      <w:pPr>
        <w:rPr>
          <w:rFonts w:cs="Arial"/>
          <w:lang w:val="en-GB"/>
        </w:rPr>
      </w:pPr>
    </w:p>
    <w:p w14:paraId="52EC948B" w14:textId="2F22B419" w:rsidR="00BE4D7F" w:rsidRPr="00D84D56" w:rsidRDefault="00BE4D7F" w:rsidP="00AE760D">
      <w:pPr>
        <w:rPr>
          <w:rFonts w:cs="Arial"/>
          <w:lang w:val="en-GB"/>
        </w:rPr>
      </w:pPr>
      <w:r w:rsidRPr="00D84D56">
        <w:rPr>
          <w:rFonts w:cs="Arial"/>
          <w:lang w:val="en-GB"/>
        </w:rPr>
        <w:t>In some intersex variations, the appearance at birth is neither clearly ‘male’ nor ‘female’.</w:t>
      </w:r>
      <w:r w:rsidR="00FF476D">
        <w:rPr>
          <w:rFonts w:cs="Arial"/>
          <w:lang w:val="en-GB"/>
        </w:rPr>
        <w:t xml:space="preserve"> In addition, t</w:t>
      </w:r>
      <w:r w:rsidRPr="00D84D56">
        <w:rPr>
          <w:rFonts w:cs="Arial"/>
          <w:lang w:val="en-GB"/>
        </w:rPr>
        <w:t xml:space="preserve">he ‘sex’ assigned, and the anticipated gender role (boy or girl) assumed at that time, may not be consistent with the </w:t>
      </w:r>
      <w:r w:rsidR="00C145FB">
        <w:rPr>
          <w:rFonts w:cs="Arial"/>
          <w:lang w:val="en-GB"/>
        </w:rPr>
        <w:t>person’s</w:t>
      </w:r>
      <w:r w:rsidRPr="00D84D56">
        <w:rPr>
          <w:rFonts w:cs="Arial"/>
          <w:lang w:val="en-GB"/>
        </w:rPr>
        <w:t xml:space="preserve"> gender identity and may, therefore, result in a need to change the gender role at a later stage.</w:t>
      </w:r>
      <w:r w:rsidR="00413C8A">
        <w:rPr>
          <w:rFonts w:cs="Arial"/>
          <w:lang w:val="en-GB"/>
        </w:rPr>
        <w:t xml:space="preserve"> However, the i</w:t>
      </w:r>
      <w:r w:rsidR="00413C8A" w:rsidRPr="00D84D56">
        <w:rPr>
          <w:rFonts w:cs="Arial"/>
          <w:lang w:val="en-GB"/>
        </w:rPr>
        <w:t>ntersex</w:t>
      </w:r>
      <w:r w:rsidR="00413C8A">
        <w:rPr>
          <w:rFonts w:cs="Arial"/>
          <w:lang w:val="en-GB"/>
        </w:rPr>
        <w:t xml:space="preserve"> condition</w:t>
      </w:r>
      <w:r w:rsidR="00413C8A" w:rsidRPr="00D84D56">
        <w:rPr>
          <w:rFonts w:cs="Arial"/>
          <w:lang w:val="en-GB"/>
        </w:rPr>
        <w:t xml:space="preserve"> should not be confused with gender identity as, while being intersex may inform an intersex person’s identity, intersex people might experience gender in various ways</w:t>
      </w:r>
      <w:r w:rsidR="00413C8A">
        <w:rPr>
          <w:rFonts w:cs="Arial"/>
          <w:lang w:val="en-GB"/>
        </w:rPr>
        <w:t>.</w:t>
      </w:r>
    </w:p>
    <w:p w14:paraId="4B37694B" w14:textId="77777777" w:rsidR="00BE4D7F" w:rsidRPr="00D84D56" w:rsidRDefault="00BE4D7F" w:rsidP="00AE760D">
      <w:pPr>
        <w:rPr>
          <w:rFonts w:cs="Arial"/>
          <w:lang w:val="en-GB"/>
        </w:rPr>
      </w:pPr>
    </w:p>
    <w:p w14:paraId="0E0BB345" w14:textId="2889C2A3" w:rsidR="00413C8A" w:rsidRDefault="00413C8A" w:rsidP="00AE760D">
      <w:pPr>
        <w:rPr>
          <w:rFonts w:cs="Arial"/>
          <w:lang w:val="en-GB"/>
        </w:rPr>
      </w:pPr>
      <w:r>
        <w:rPr>
          <w:rFonts w:cs="Arial"/>
          <w:lang w:val="en-GB"/>
        </w:rPr>
        <w:t>T</w:t>
      </w:r>
      <w:r w:rsidRPr="00D84D56">
        <w:rPr>
          <w:rFonts w:cs="Arial"/>
          <w:lang w:val="en-GB"/>
        </w:rPr>
        <w:t xml:space="preserve">he intersex condition is not covered as a separate category </w:t>
      </w:r>
      <w:r w:rsidR="00BE4D7F" w:rsidRPr="00D84D56">
        <w:rPr>
          <w:rFonts w:cs="Arial"/>
          <w:lang w:val="en-GB"/>
        </w:rPr>
        <w:t>under the Equality Act 201</w:t>
      </w:r>
      <w:r w:rsidR="006F3B3A">
        <w:rPr>
          <w:rFonts w:cs="Arial"/>
          <w:lang w:val="en-GB"/>
        </w:rPr>
        <w:t>0</w:t>
      </w:r>
      <w:r w:rsidR="00BE4D7F" w:rsidRPr="00D84D56">
        <w:rPr>
          <w:rFonts w:cs="Arial"/>
          <w:lang w:val="en-GB"/>
        </w:rPr>
        <w:t xml:space="preserve">, </w:t>
      </w:r>
      <w:r>
        <w:rPr>
          <w:rFonts w:cs="Arial"/>
          <w:lang w:val="en-GB"/>
        </w:rPr>
        <w:t>while</w:t>
      </w:r>
      <w:r w:rsidR="00BE4D7F" w:rsidRPr="00D84D56">
        <w:rPr>
          <w:rFonts w:cs="Arial"/>
          <w:lang w:val="en-GB"/>
        </w:rPr>
        <w:t xml:space="preserve"> the category of </w:t>
      </w:r>
      <w:r>
        <w:rPr>
          <w:rFonts w:cs="Arial"/>
          <w:lang w:val="en-GB"/>
        </w:rPr>
        <w:t>‘</w:t>
      </w:r>
      <w:r w:rsidR="00BE4D7F" w:rsidRPr="00D84D56">
        <w:rPr>
          <w:rFonts w:cs="Arial"/>
          <w:lang w:val="en-GB"/>
        </w:rPr>
        <w:t>sex</w:t>
      </w:r>
      <w:r>
        <w:rPr>
          <w:rFonts w:cs="Arial"/>
          <w:lang w:val="en-GB"/>
        </w:rPr>
        <w:t>’</w:t>
      </w:r>
      <w:r w:rsidR="00BE4D7F" w:rsidRPr="00D84D56">
        <w:rPr>
          <w:rFonts w:cs="Arial"/>
          <w:lang w:val="en-GB"/>
        </w:rPr>
        <w:t xml:space="preserve"> refers to the sex that has been recorded on the person’s birth certificate. It should be noted, however, that some conditions will fall within the Equality Act 2010 in relation to the protected characteristic of </w:t>
      </w:r>
      <w:r>
        <w:rPr>
          <w:rFonts w:cs="Arial"/>
          <w:lang w:val="en-GB"/>
        </w:rPr>
        <w:t>‘</w:t>
      </w:r>
      <w:r w:rsidR="00BE4D7F" w:rsidRPr="00D84D56">
        <w:rPr>
          <w:rFonts w:cs="Arial"/>
          <w:lang w:val="en-GB"/>
        </w:rPr>
        <w:t>disability</w:t>
      </w:r>
      <w:r>
        <w:rPr>
          <w:rFonts w:cs="Arial"/>
          <w:lang w:val="en-GB"/>
        </w:rPr>
        <w:t>’</w:t>
      </w:r>
      <w:r w:rsidR="00BE4D7F" w:rsidRPr="00D84D56">
        <w:rPr>
          <w:rFonts w:cs="Arial"/>
          <w:lang w:val="en-GB"/>
        </w:rPr>
        <w:t>.</w:t>
      </w:r>
      <w:r>
        <w:rPr>
          <w:rFonts w:cs="Arial"/>
          <w:lang w:val="en-GB"/>
        </w:rPr>
        <w:t xml:space="preserve"> This is not to say that being intersex is an</w:t>
      </w:r>
      <w:r w:rsidR="00A4014D">
        <w:rPr>
          <w:rFonts w:cs="Arial"/>
          <w:lang w:val="en-GB"/>
        </w:rPr>
        <w:t xml:space="preserve"> impairment,</w:t>
      </w:r>
      <w:r>
        <w:rPr>
          <w:rFonts w:cs="Arial"/>
          <w:lang w:val="en-GB"/>
        </w:rPr>
        <w:t xml:space="preserve"> illness or disability</w:t>
      </w:r>
      <w:r w:rsidR="00A4014D">
        <w:rPr>
          <w:rFonts w:cs="Arial"/>
          <w:lang w:val="en-GB"/>
        </w:rPr>
        <w:t>. Nevertheless,</w:t>
      </w:r>
      <w:r>
        <w:rPr>
          <w:rFonts w:cs="Arial"/>
          <w:lang w:val="en-GB"/>
        </w:rPr>
        <w:t xml:space="preserve"> the</w:t>
      </w:r>
      <w:r w:rsidR="00C52769">
        <w:rPr>
          <w:rFonts w:cs="Arial"/>
          <w:lang w:val="en-GB"/>
        </w:rPr>
        <w:t>re</w:t>
      </w:r>
      <w:r>
        <w:rPr>
          <w:rFonts w:cs="Arial"/>
          <w:lang w:val="en-GB"/>
        </w:rPr>
        <w:t xml:space="preserve"> may be individuals</w:t>
      </w:r>
      <w:r w:rsidR="00C52769">
        <w:rPr>
          <w:rFonts w:cs="Arial"/>
          <w:lang w:val="en-GB"/>
        </w:rPr>
        <w:t xml:space="preserve"> who have undergone forced intervention or surgery, or individuals who</w:t>
      </w:r>
      <w:r w:rsidR="00A4014D">
        <w:rPr>
          <w:rFonts w:cs="Arial"/>
          <w:lang w:val="en-GB"/>
        </w:rPr>
        <w:t>se intersex condition is accompanied by other physical differences that can be regarded as disabilities.</w:t>
      </w:r>
    </w:p>
    <w:p w14:paraId="141F4102" w14:textId="77777777" w:rsidR="00413C8A" w:rsidRDefault="00413C8A" w:rsidP="00AE760D">
      <w:pPr>
        <w:rPr>
          <w:rFonts w:cs="Arial"/>
          <w:lang w:val="en-GB"/>
        </w:rPr>
      </w:pPr>
    </w:p>
    <w:p w14:paraId="27CF3CB0" w14:textId="71E90986" w:rsidR="001E0D51" w:rsidRPr="00D84D56" w:rsidRDefault="00BE4D7F" w:rsidP="00AE760D">
      <w:pPr>
        <w:rPr>
          <w:lang w:val="en-GB"/>
        </w:rPr>
      </w:pPr>
      <w:r w:rsidRPr="00D84D56">
        <w:rPr>
          <w:rFonts w:cs="Arial"/>
          <w:lang w:val="en-GB"/>
        </w:rPr>
        <w:t>The category of gender reassignment will only apply where the person decides to go through this process; however, there should be no assumption that an intersex person has to do so.</w:t>
      </w:r>
    </w:p>
    <w:p w14:paraId="5457E8A1" w14:textId="77777777" w:rsidR="00323470" w:rsidRPr="00D84D56" w:rsidRDefault="00323470" w:rsidP="00653F53">
      <w:pPr>
        <w:rPr>
          <w:lang w:val="en-GB" w:eastAsia="en-US"/>
        </w:rPr>
      </w:pPr>
    </w:p>
    <w:p w14:paraId="4B844746" w14:textId="68AD5462" w:rsidR="00A5566B" w:rsidRPr="00D84D56" w:rsidRDefault="00A6463A" w:rsidP="008C6C5A">
      <w:pPr>
        <w:pStyle w:val="Heading1"/>
        <w:rPr>
          <w:lang w:val="en-GB"/>
        </w:rPr>
      </w:pPr>
      <w:r>
        <w:rPr>
          <w:lang w:val="en-GB"/>
        </w:rPr>
        <w:t xml:space="preserve"> </w:t>
      </w:r>
      <w:r>
        <w:rPr>
          <w:lang w:val="en-GB"/>
        </w:rPr>
        <w:tab/>
      </w:r>
      <w:bookmarkStart w:id="9" w:name="_Toc19273740"/>
      <w:r w:rsidR="008C6C5A" w:rsidRPr="00D84D56">
        <w:rPr>
          <w:lang w:val="en-GB"/>
        </w:rPr>
        <w:t xml:space="preserve">Inclusive </w:t>
      </w:r>
      <w:r w:rsidR="002B3C0A" w:rsidRPr="00D84D56">
        <w:rPr>
          <w:lang w:val="en-GB"/>
        </w:rPr>
        <w:t xml:space="preserve">language and </w:t>
      </w:r>
      <w:r w:rsidR="008C6C5A" w:rsidRPr="00D84D56">
        <w:rPr>
          <w:lang w:val="en-GB"/>
        </w:rPr>
        <w:t>c</w:t>
      </w:r>
      <w:r w:rsidR="00A5566B" w:rsidRPr="00D84D56">
        <w:rPr>
          <w:lang w:val="en-GB"/>
        </w:rPr>
        <w:t xml:space="preserve">ustomer </w:t>
      </w:r>
      <w:r w:rsidR="008C6C5A" w:rsidRPr="00D84D56">
        <w:rPr>
          <w:lang w:val="en-GB"/>
        </w:rPr>
        <w:t>s</w:t>
      </w:r>
      <w:r w:rsidR="00A5566B" w:rsidRPr="00D84D56">
        <w:rPr>
          <w:lang w:val="en-GB"/>
        </w:rPr>
        <w:t>ervice</w:t>
      </w:r>
      <w:bookmarkEnd w:id="9"/>
    </w:p>
    <w:p w14:paraId="2CAF19A7" w14:textId="77777777" w:rsidR="008C6C5A" w:rsidRPr="00D84D56" w:rsidRDefault="009355B3" w:rsidP="00653F53">
      <w:pPr>
        <w:rPr>
          <w:lang w:val="en-GB" w:eastAsia="en-US"/>
        </w:rPr>
      </w:pPr>
      <w:r w:rsidRPr="00D84D56">
        <w:rPr>
          <w:lang w:val="en-GB" w:eastAsia="en-US"/>
        </w:rPr>
        <w:t>The following applies on interactions with both colleagues and service users. All s</w:t>
      </w:r>
      <w:r w:rsidR="0059539A" w:rsidRPr="00D84D56">
        <w:rPr>
          <w:lang w:val="en-GB" w:eastAsia="en-US"/>
        </w:rPr>
        <w:t>taff have an essential role to play in providing the Council’s services in a</w:t>
      </w:r>
      <w:r w:rsidR="00CA5A82" w:rsidRPr="00D84D56">
        <w:rPr>
          <w:lang w:val="en-GB" w:eastAsia="en-US"/>
        </w:rPr>
        <w:t xml:space="preserve"> sensitive and </w:t>
      </w:r>
      <w:r w:rsidR="0059539A" w:rsidRPr="00D84D56">
        <w:rPr>
          <w:lang w:val="en-GB" w:eastAsia="en-US"/>
        </w:rPr>
        <w:t>inclusive manner, free from any form of discrimination.</w:t>
      </w:r>
    </w:p>
    <w:p w14:paraId="5477F19C" w14:textId="77777777" w:rsidR="0059539A" w:rsidRPr="00D84D56" w:rsidRDefault="0059539A" w:rsidP="00653F53">
      <w:pPr>
        <w:rPr>
          <w:lang w:val="en-GB" w:eastAsia="en-US"/>
        </w:rPr>
      </w:pPr>
    </w:p>
    <w:p w14:paraId="187CD4A0" w14:textId="77777777" w:rsidR="006420FC" w:rsidRPr="00D84D56" w:rsidRDefault="006420FC" w:rsidP="00653F53">
      <w:pPr>
        <w:rPr>
          <w:lang w:val="en-GB" w:eastAsia="en-US"/>
        </w:rPr>
      </w:pPr>
      <w:r w:rsidRPr="00D84D56">
        <w:rPr>
          <w:lang w:val="en-GB" w:eastAsia="en-US"/>
        </w:rPr>
        <w:t>Staff need to be aware of the differences between notions such as physical (sex) characteristics, gender identity, and sexual identity. They need to be mindful of the diversity in the above as well as relationships and families and refrain from assumptions.</w:t>
      </w:r>
    </w:p>
    <w:p w14:paraId="07F5C7A2" w14:textId="77777777" w:rsidR="006420FC" w:rsidRPr="00D84D56" w:rsidRDefault="006420FC" w:rsidP="00653F53">
      <w:pPr>
        <w:rPr>
          <w:lang w:val="en-GB" w:eastAsia="en-US"/>
        </w:rPr>
      </w:pPr>
    </w:p>
    <w:p w14:paraId="7AF84C98" w14:textId="5BCCFA4A" w:rsidR="00CA5A82" w:rsidRPr="00D84D56" w:rsidRDefault="00CA5A82" w:rsidP="00653F53">
      <w:pPr>
        <w:rPr>
          <w:lang w:val="en-GB" w:eastAsia="en-US"/>
        </w:rPr>
      </w:pPr>
      <w:r w:rsidRPr="00D84D56">
        <w:rPr>
          <w:lang w:val="en-GB" w:eastAsia="en-US"/>
        </w:rPr>
        <w:t>The individual’s name, title, and pronoun must be respected. Some people</w:t>
      </w:r>
      <w:r w:rsidR="00403185">
        <w:rPr>
          <w:lang w:val="en-GB" w:eastAsia="en-US"/>
        </w:rPr>
        <w:t>’s titles</w:t>
      </w:r>
      <w:r w:rsidRPr="00D84D56">
        <w:rPr>
          <w:lang w:val="en-GB" w:eastAsia="en-US"/>
        </w:rPr>
        <w:t xml:space="preserve"> and pronouns </w:t>
      </w:r>
      <w:r w:rsidR="00403185">
        <w:rPr>
          <w:lang w:val="en-GB" w:eastAsia="en-US"/>
        </w:rPr>
        <w:t xml:space="preserve">are </w:t>
      </w:r>
      <w:r w:rsidR="00403185" w:rsidRPr="00D84D56">
        <w:rPr>
          <w:lang w:val="en-GB" w:eastAsia="en-US"/>
        </w:rPr>
        <w:t>binary</w:t>
      </w:r>
      <w:r w:rsidR="00403185">
        <w:rPr>
          <w:lang w:val="en-GB" w:eastAsia="en-US"/>
        </w:rPr>
        <w:t xml:space="preserve"> </w:t>
      </w:r>
      <w:r w:rsidR="00403185" w:rsidRPr="00D84D56">
        <w:rPr>
          <w:lang w:val="en-GB" w:eastAsia="en-US"/>
        </w:rPr>
        <w:t>(</w:t>
      </w:r>
      <w:r w:rsidR="00403185">
        <w:rPr>
          <w:lang w:val="en-GB" w:eastAsia="en-US"/>
        </w:rPr>
        <w:t>for example, ‘Miss’ or</w:t>
      </w:r>
      <w:r w:rsidR="00403185" w:rsidRPr="00D84D56">
        <w:rPr>
          <w:lang w:val="en-GB" w:eastAsia="en-US"/>
        </w:rPr>
        <w:t xml:space="preserve"> ‘Mr’</w:t>
      </w:r>
      <w:r w:rsidR="00403185">
        <w:rPr>
          <w:lang w:val="en-GB" w:eastAsia="en-US"/>
        </w:rPr>
        <w:t xml:space="preserve"> and</w:t>
      </w:r>
      <w:r w:rsidR="00403185" w:rsidRPr="00D84D56">
        <w:rPr>
          <w:lang w:val="en-GB" w:eastAsia="en-US"/>
        </w:rPr>
        <w:t xml:space="preserve"> </w:t>
      </w:r>
      <w:r w:rsidR="00403185">
        <w:rPr>
          <w:lang w:val="en-GB" w:eastAsia="en-US"/>
        </w:rPr>
        <w:t xml:space="preserve">‘she’ or </w:t>
      </w:r>
      <w:r w:rsidR="00403185" w:rsidRPr="00D84D56">
        <w:rPr>
          <w:lang w:val="en-GB" w:eastAsia="en-US"/>
        </w:rPr>
        <w:t>‘he’)</w:t>
      </w:r>
      <w:r w:rsidR="00BF7757" w:rsidRPr="00D84D56">
        <w:rPr>
          <w:lang w:val="en-GB" w:eastAsia="en-US"/>
        </w:rPr>
        <w:t>, whilst others</w:t>
      </w:r>
      <w:r w:rsidR="00403185">
        <w:rPr>
          <w:lang w:val="en-GB" w:eastAsia="en-US"/>
        </w:rPr>
        <w:t xml:space="preserve">’ are </w:t>
      </w:r>
      <w:r w:rsidR="00BF7757" w:rsidRPr="00D84D56">
        <w:rPr>
          <w:lang w:val="en-GB" w:eastAsia="en-US"/>
        </w:rPr>
        <w:t>gender neutral (‘Mx.’, ‘they’).</w:t>
      </w:r>
    </w:p>
    <w:p w14:paraId="229F4CA5" w14:textId="77777777" w:rsidR="00CA5A82" w:rsidRPr="00D84D56" w:rsidRDefault="00CA5A82" w:rsidP="00653F53">
      <w:pPr>
        <w:rPr>
          <w:lang w:val="en-GB" w:eastAsia="en-US"/>
        </w:rPr>
      </w:pPr>
    </w:p>
    <w:p w14:paraId="544C1F4C" w14:textId="10298EF8" w:rsidR="00B15651" w:rsidRPr="00D84D56" w:rsidRDefault="00B15651" w:rsidP="00B15651">
      <w:pPr>
        <w:rPr>
          <w:rFonts w:cs="Arial"/>
          <w:lang w:val="en-GB"/>
        </w:rPr>
      </w:pPr>
      <w:r w:rsidRPr="00D84D56">
        <w:rPr>
          <w:rFonts w:cs="Arial"/>
          <w:lang w:val="en-GB"/>
        </w:rPr>
        <w:t xml:space="preserve">When taking phone calls especially from the public, staff should be alert to voices that do not match names and titles. </w:t>
      </w:r>
      <w:r w:rsidR="00C145FB">
        <w:rPr>
          <w:rFonts w:cs="Arial"/>
          <w:lang w:val="en-GB"/>
        </w:rPr>
        <w:t>Some people—regardless of their gender identity or expression—</w:t>
      </w:r>
      <w:r w:rsidRPr="00D84D56">
        <w:rPr>
          <w:rFonts w:cs="Arial"/>
          <w:lang w:val="en-GB"/>
        </w:rPr>
        <w:t>may find it difficult to have their correct gender acknowledged. Staff receiving phone calls should listen carefully to the name and</w:t>
      </w:r>
      <w:r w:rsidR="00A6463A">
        <w:rPr>
          <w:rFonts w:cs="Arial"/>
          <w:lang w:val="en-GB"/>
        </w:rPr>
        <w:t>,</w:t>
      </w:r>
      <w:r w:rsidRPr="00D84D56">
        <w:rPr>
          <w:rFonts w:cs="Arial"/>
          <w:lang w:val="en-GB"/>
        </w:rPr>
        <w:t xml:space="preserve"> if necessary</w:t>
      </w:r>
      <w:r w:rsidR="00A6463A">
        <w:rPr>
          <w:rFonts w:cs="Arial"/>
          <w:lang w:val="en-GB"/>
        </w:rPr>
        <w:t>,</w:t>
      </w:r>
      <w:r w:rsidRPr="00D84D56">
        <w:rPr>
          <w:rFonts w:cs="Arial"/>
          <w:lang w:val="en-GB"/>
        </w:rPr>
        <w:t xml:space="preserve"> ask politely ‘How would you like to be addressed?’. Name and matching pronouns and title should be carefully noted.</w:t>
      </w:r>
    </w:p>
    <w:p w14:paraId="075979C9" w14:textId="77777777" w:rsidR="00B15651" w:rsidRPr="00D84D56" w:rsidRDefault="00B15651" w:rsidP="00653F53">
      <w:pPr>
        <w:rPr>
          <w:lang w:val="en-GB" w:eastAsia="en-US"/>
        </w:rPr>
      </w:pPr>
    </w:p>
    <w:p w14:paraId="0EA1B8F6" w14:textId="09E73175" w:rsidR="006420FC" w:rsidRPr="00D84D56" w:rsidRDefault="006420FC" w:rsidP="00653F53">
      <w:pPr>
        <w:rPr>
          <w:lang w:val="en-GB" w:eastAsia="en-US"/>
        </w:rPr>
      </w:pPr>
      <w:r w:rsidRPr="00D84D56">
        <w:rPr>
          <w:lang w:val="en-GB" w:eastAsia="en-US"/>
        </w:rPr>
        <w:t xml:space="preserve">Whilst it </w:t>
      </w:r>
      <w:r w:rsidR="00C145FB">
        <w:rPr>
          <w:lang w:val="en-GB" w:eastAsia="en-US"/>
        </w:rPr>
        <w:t xml:space="preserve">is </w:t>
      </w:r>
      <w:r w:rsidRPr="00D84D56">
        <w:rPr>
          <w:lang w:val="en-GB" w:eastAsia="en-US"/>
        </w:rPr>
        <w:t>important to use respectful, inclusive language</w:t>
      </w:r>
      <w:r w:rsidR="00C145FB">
        <w:rPr>
          <w:lang w:val="en-GB" w:eastAsia="en-US"/>
        </w:rPr>
        <w:t>;</w:t>
      </w:r>
      <w:r w:rsidRPr="00D84D56">
        <w:rPr>
          <w:lang w:val="en-GB" w:eastAsia="en-US"/>
        </w:rPr>
        <w:t xml:space="preserve"> it is recognised that some</w:t>
      </w:r>
      <w:r w:rsidR="00173D93">
        <w:rPr>
          <w:lang w:val="en-GB" w:eastAsia="en-US"/>
        </w:rPr>
        <w:t>times employees may through naivety or lack of awareness use the incorrect terms</w:t>
      </w:r>
      <w:r w:rsidR="008E5B83">
        <w:rPr>
          <w:lang w:val="en-GB" w:eastAsia="en-US"/>
        </w:rPr>
        <w:t>,</w:t>
      </w:r>
      <w:r w:rsidR="00173D93">
        <w:rPr>
          <w:lang w:val="en-GB" w:eastAsia="en-US"/>
        </w:rPr>
        <w:t xml:space="preserve"> and </w:t>
      </w:r>
      <w:r w:rsidR="00C145FB">
        <w:rPr>
          <w:lang w:val="en-GB" w:eastAsia="en-US"/>
        </w:rPr>
        <w:t xml:space="preserve"> people </w:t>
      </w:r>
      <w:r w:rsidR="008E5B83">
        <w:rPr>
          <w:lang w:val="en-GB" w:eastAsia="en-US"/>
        </w:rPr>
        <w:t xml:space="preserve">may </w:t>
      </w:r>
      <w:r w:rsidR="00C145FB">
        <w:rPr>
          <w:lang w:val="en-GB" w:eastAsia="en-US"/>
        </w:rPr>
        <w:t xml:space="preserve">interact with these kind of mistakes </w:t>
      </w:r>
      <w:r w:rsidR="00054BCB">
        <w:rPr>
          <w:lang w:val="en-GB" w:eastAsia="en-US"/>
        </w:rPr>
        <w:t>differently, and they should lead on any follow-up discussion. However, in the absence of an ongoing discussion with the trans customer, b</w:t>
      </w:r>
      <w:r w:rsidRPr="00D84D56">
        <w:rPr>
          <w:lang w:val="en-GB" w:eastAsia="en-US"/>
        </w:rPr>
        <w:t xml:space="preserve">est practice would be for the </w:t>
      </w:r>
      <w:r w:rsidR="008E5B83">
        <w:rPr>
          <w:lang w:val="en-GB" w:eastAsia="en-US"/>
        </w:rPr>
        <w:t>employee</w:t>
      </w:r>
      <w:r w:rsidRPr="00D84D56">
        <w:rPr>
          <w:lang w:val="en-GB" w:eastAsia="en-US"/>
        </w:rPr>
        <w:t xml:space="preserve"> who made a mistake to simply apologise promptly and move on with the conversation.</w:t>
      </w:r>
    </w:p>
    <w:p w14:paraId="6D417DE5" w14:textId="77777777" w:rsidR="006420FC" w:rsidRPr="00D84D56" w:rsidRDefault="006420FC" w:rsidP="00653F53">
      <w:pPr>
        <w:rPr>
          <w:lang w:val="en-GB" w:eastAsia="en-US"/>
        </w:rPr>
      </w:pPr>
    </w:p>
    <w:p w14:paraId="0487B3CE" w14:textId="77777777" w:rsidR="006420FC" w:rsidRPr="00D84D56" w:rsidRDefault="006420FC" w:rsidP="00653F53">
      <w:pPr>
        <w:rPr>
          <w:lang w:val="en-GB" w:eastAsia="en-US"/>
        </w:rPr>
      </w:pPr>
      <w:r w:rsidRPr="00D84D56">
        <w:rPr>
          <w:lang w:val="en-GB" w:eastAsia="en-US"/>
        </w:rPr>
        <w:t>Intentional or persistent misgendering or non-inclusive language may be dealt with as a disciplinary matter.</w:t>
      </w:r>
    </w:p>
    <w:p w14:paraId="650991D1" w14:textId="77777777" w:rsidR="006420FC" w:rsidRPr="00D84D56" w:rsidRDefault="006420FC" w:rsidP="00653F53">
      <w:pPr>
        <w:rPr>
          <w:lang w:val="en-GB" w:eastAsia="en-US"/>
        </w:rPr>
      </w:pPr>
    </w:p>
    <w:p w14:paraId="3B2BF0AB" w14:textId="262302F3" w:rsidR="00217FE4" w:rsidRPr="00D84D56" w:rsidRDefault="00217FE4" w:rsidP="00653F53">
      <w:pPr>
        <w:rPr>
          <w:lang w:val="en-GB" w:eastAsia="en-US"/>
        </w:rPr>
      </w:pPr>
      <w:r w:rsidRPr="00D84D56">
        <w:rPr>
          <w:lang w:val="en-GB" w:eastAsia="en-US"/>
        </w:rPr>
        <w:t xml:space="preserve">The Government’s guide on </w:t>
      </w:r>
      <w:hyperlink r:id="rId22" w:history="1">
        <w:r w:rsidRPr="00D84D56">
          <w:rPr>
            <w:rStyle w:val="Hyperlink"/>
            <w:lang w:val="en-GB" w:eastAsia="en-US"/>
          </w:rPr>
          <w:t>Providing services for transgender customers</w:t>
        </w:r>
      </w:hyperlink>
      <w:r w:rsidRPr="00D84D56">
        <w:rPr>
          <w:lang w:val="en-GB" w:eastAsia="en-US"/>
        </w:rPr>
        <w:t xml:space="preserve"> and the Gender Identity Research and Education Society’s </w:t>
      </w:r>
      <w:hyperlink r:id="rId23" w:history="1">
        <w:r w:rsidR="005323C0" w:rsidRPr="00D84D56">
          <w:rPr>
            <w:rStyle w:val="Hyperlink"/>
            <w:lang w:val="en-GB" w:eastAsia="en-US"/>
          </w:rPr>
          <w:t xml:space="preserve">e-learning </w:t>
        </w:r>
        <w:r w:rsidRPr="00D84D56">
          <w:rPr>
            <w:rStyle w:val="Hyperlink"/>
            <w:lang w:val="en-GB" w:eastAsia="en-US"/>
          </w:rPr>
          <w:t>web</w:t>
        </w:r>
        <w:r w:rsidR="005323C0" w:rsidRPr="00D84D56">
          <w:rPr>
            <w:rStyle w:val="Hyperlink"/>
            <w:lang w:val="en-GB" w:eastAsia="en-US"/>
          </w:rPr>
          <w:t>page</w:t>
        </w:r>
      </w:hyperlink>
      <w:r w:rsidRPr="00D84D56">
        <w:rPr>
          <w:lang w:val="en-GB" w:eastAsia="en-US"/>
        </w:rPr>
        <w:t xml:space="preserve"> offer good introductory guidance on </w:t>
      </w:r>
      <w:r w:rsidR="0070288B" w:rsidRPr="00D84D56">
        <w:rPr>
          <w:lang w:val="en-GB" w:eastAsia="en-US"/>
        </w:rPr>
        <w:t xml:space="preserve">trans </w:t>
      </w:r>
      <w:r w:rsidRPr="00D84D56">
        <w:rPr>
          <w:lang w:val="en-GB" w:eastAsia="en-US"/>
        </w:rPr>
        <w:t>inclusive customer service.</w:t>
      </w:r>
      <w:r w:rsidR="005323C0" w:rsidRPr="00D84D56">
        <w:rPr>
          <w:lang w:val="en-GB" w:eastAsia="en-US"/>
        </w:rPr>
        <w:t xml:space="preserve"> For more resources, please </w:t>
      </w:r>
      <w:r w:rsidR="00A31BDB">
        <w:rPr>
          <w:lang w:val="en-GB" w:eastAsia="en-US"/>
        </w:rPr>
        <w:t xml:space="preserve">refer to </w:t>
      </w:r>
      <w:hyperlink w:anchor="_Appendix_4:_Sources" w:history="1">
        <w:r w:rsidR="00EE2B26" w:rsidRPr="00D84D56">
          <w:rPr>
            <w:rStyle w:val="Hyperlink"/>
            <w:lang w:val="en-GB" w:eastAsia="en-US"/>
          </w:rPr>
          <w:t>Appendix 4: Sources of information, advice and support</w:t>
        </w:r>
      </w:hyperlink>
      <w:r w:rsidR="005323C0" w:rsidRPr="00D84D56">
        <w:rPr>
          <w:lang w:val="en-GB" w:eastAsia="en-US"/>
        </w:rPr>
        <w:t>.</w:t>
      </w:r>
    </w:p>
    <w:p w14:paraId="1FBC9F9F" w14:textId="77777777" w:rsidR="0059539A" w:rsidRPr="00D84D56" w:rsidRDefault="0059539A" w:rsidP="00653F53">
      <w:pPr>
        <w:rPr>
          <w:lang w:val="en-GB" w:eastAsia="en-US"/>
        </w:rPr>
      </w:pPr>
    </w:p>
    <w:p w14:paraId="224465E3" w14:textId="3A51EA0D" w:rsidR="001E0D51" w:rsidRPr="00D84D56" w:rsidRDefault="00A6463A" w:rsidP="001306D4">
      <w:pPr>
        <w:pStyle w:val="Heading1"/>
        <w:rPr>
          <w:lang w:val="en-GB"/>
        </w:rPr>
      </w:pPr>
      <w:r>
        <w:rPr>
          <w:lang w:val="en-GB"/>
        </w:rPr>
        <w:t xml:space="preserve"> </w:t>
      </w:r>
      <w:r>
        <w:rPr>
          <w:lang w:val="en-GB"/>
        </w:rPr>
        <w:tab/>
      </w:r>
      <w:bookmarkStart w:id="10" w:name="_Toc19273741"/>
      <w:r w:rsidR="009671D1" w:rsidRPr="00D84D56">
        <w:rPr>
          <w:lang w:val="en-GB"/>
        </w:rPr>
        <w:t>Recruitment</w:t>
      </w:r>
      <w:r w:rsidR="003F000F" w:rsidRPr="00D84D56">
        <w:rPr>
          <w:lang w:val="en-GB"/>
        </w:rPr>
        <w:t xml:space="preserve">: </w:t>
      </w:r>
      <w:r w:rsidR="008C6C5A" w:rsidRPr="00D84D56">
        <w:rPr>
          <w:lang w:val="en-GB"/>
        </w:rPr>
        <w:t>v</w:t>
      </w:r>
      <w:r w:rsidR="003F000F" w:rsidRPr="00D84D56">
        <w:rPr>
          <w:lang w:val="en-GB"/>
        </w:rPr>
        <w:t xml:space="preserve">etting and </w:t>
      </w:r>
      <w:r w:rsidR="008C6C5A" w:rsidRPr="00D84D56">
        <w:rPr>
          <w:lang w:val="en-GB"/>
        </w:rPr>
        <w:t>o</w:t>
      </w:r>
      <w:r w:rsidR="003F000F" w:rsidRPr="00D84D56">
        <w:rPr>
          <w:lang w:val="en-GB"/>
        </w:rPr>
        <w:t>nboarding</w:t>
      </w:r>
      <w:bookmarkEnd w:id="10"/>
    </w:p>
    <w:p w14:paraId="3505881D" w14:textId="77777777" w:rsidR="008A1780" w:rsidRPr="00D84D56" w:rsidRDefault="001306D4" w:rsidP="001306D4">
      <w:pPr>
        <w:rPr>
          <w:rFonts w:cs="Arial"/>
          <w:lang w:val="en-GB"/>
        </w:rPr>
      </w:pPr>
      <w:r w:rsidRPr="00D84D56">
        <w:rPr>
          <w:rFonts w:cs="Arial"/>
          <w:color w:val="000000"/>
          <w:szCs w:val="22"/>
          <w:lang w:val="en-GB"/>
        </w:rPr>
        <w:t xml:space="preserve">In </w:t>
      </w:r>
      <w:r w:rsidR="008A1780" w:rsidRPr="00D84D56">
        <w:rPr>
          <w:rFonts w:cs="Arial"/>
          <w:color w:val="000000"/>
          <w:szCs w:val="22"/>
          <w:lang w:val="en-GB"/>
        </w:rPr>
        <w:t>the vast majority of</w:t>
      </w:r>
      <w:r w:rsidRPr="00D84D56">
        <w:rPr>
          <w:rFonts w:cs="Arial"/>
          <w:color w:val="000000"/>
          <w:szCs w:val="22"/>
          <w:lang w:val="en-GB"/>
        </w:rPr>
        <w:t xml:space="preserve"> cases, the </w:t>
      </w:r>
      <w:r w:rsidR="008A1780" w:rsidRPr="00D84D56">
        <w:rPr>
          <w:rFonts w:cs="Arial"/>
          <w:color w:val="000000"/>
          <w:szCs w:val="22"/>
          <w:lang w:val="en-GB"/>
        </w:rPr>
        <w:t xml:space="preserve">candidate’s </w:t>
      </w:r>
      <w:r w:rsidRPr="00D84D56">
        <w:rPr>
          <w:rFonts w:cs="Arial"/>
          <w:color w:val="000000"/>
          <w:szCs w:val="22"/>
          <w:lang w:val="en-GB"/>
        </w:rPr>
        <w:t xml:space="preserve">gender </w:t>
      </w:r>
      <w:r w:rsidR="00485A6F" w:rsidRPr="00D84D56">
        <w:rPr>
          <w:rFonts w:cs="Arial"/>
          <w:color w:val="000000"/>
          <w:szCs w:val="22"/>
          <w:lang w:val="en-GB"/>
        </w:rPr>
        <w:t xml:space="preserve">or sex characteristics </w:t>
      </w:r>
      <w:r w:rsidRPr="00D84D56">
        <w:rPr>
          <w:rFonts w:cs="Arial"/>
          <w:color w:val="000000"/>
          <w:szCs w:val="22"/>
          <w:lang w:val="en-GB"/>
        </w:rPr>
        <w:t>ha</w:t>
      </w:r>
      <w:r w:rsidR="00485A6F" w:rsidRPr="00D84D56">
        <w:rPr>
          <w:rFonts w:cs="Arial"/>
          <w:color w:val="000000"/>
          <w:szCs w:val="22"/>
          <w:lang w:val="en-GB"/>
        </w:rPr>
        <w:t>ve</w:t>
      </w:r>
      <w:r w:rsidRPr="00D84D56">
        <w:rPr>
          <w:rFonts w:cs="Arial"/>
          <w:color w:val="000000"/>
          <w:szCs w:val="22"/>
          <w:lang w:val="en-GB"/>
        </w:rPr>
        <w:t xml:space="preserve"> no bearing on their ability to do their job</w:t>
      </w:r>
      <w:r w:rsidR="00485A6F" w:rsidRPr="00D84D56">
        <w:rPr>
          <w:rFonts w:cs="Arial"/>
          <w:color w:val="000000"/>
          <w:szCs w:val="22"/>
          <w:lang w:val="en-GB"/>
        </w:rPr>
        <w:t>.</w:t>
      </w:r>
      <w:r w:rsidR="008A1780" w:rsidRPr="00D84D56">
        <w:rPr>
          <w:rFonts w:cs="Arial"/>
          <w:color w:val="000000"/>
          <w:szCs w:val="22"/>
          <w:lang w:val="en-GB"/>
        </w:rPr>
        <w:t xml:space="preserve"> </w:t>
      </w:r>
      <w:r w:rsidR="008A1780" w:rsidRPr="00D84D56">
        <w:rPr>
          <w:rFonts w:cs="Arial"/>
          <w:lang w:val="en-GB"/>
        </w:rPr>
        <w:t>Applicants and interviewees for employment are not expected to disclose their trans history or intersex condition. There is no obligation for a trans person to disclose their status as a condition of employment. Moreover, non-disclosure, or subsequent disclosure, is not grounds for dismissal.</w:t>
      </w:r>
    </w:p>
    <w:p w14:paraId="3043816D" w14:textId="77777777" w:rsidR="008A1780" w:rsidRPr="00D84D56" w:rsidRDefault="008A1780" w:rsidP="001306D4">
      <w:pPr>
        <w:rPr>
          <w:rFonts w:cs="Arial"/>
          <w:lang w:val="en-GB"/>
        </w:rPr>
      </w:pPr>
    </w:p>
    <w:p w14:paraId="28C8F19D" w14:textId="77777777" w:rsidR="008A1780" w:rsidRPr="00D84D56" w:rsidRDefault="008A1780" w:rsidP="008A1780">
      <w:pPr>
        <w:numPr>
          <w:ilvl w:val="1"/>
          <w:numId w:val="1"/>
        </w:numPr>
        <w:ind w:left="-135"/>
        <w:rPr>
          <w:rFonts w:cs="Arial"/>
          <w:color w:val="000000"/>
          <w:szCs w:val="22"/>
          <w:lang w:val="en-GB"/>
        </w:rPr>
      </w:pPr>
      <w:r w:rsidRPr="00D84D56">
        <w:rPr>
          <w:b/>
          <w:szCs w:val="22"/>
          <w:lang w:val="en-GB" w:eastAsia="en-US"/>
        </w:rPr>
        <w:t xml:space="preserve"> </w:t>
      </w:r>
      <w:r w:rsidRPr="00D84D56">
        <w:rPr>
          <w:b/>
          <w:szCs w:val="22"/>
          <w:lang w:val="en-GB" w:eastAsia="en-US"/>
        </w:rPr>
        <w:tab/>
      </w:r>
      <w:bookmarkStart w:id="11" w:name="_Hlk18939438"/>
      <w:r w:rsidRPr="00D84D56">
        <w:rPr>
          <w:b/>
          <w:szCs w:val="22"/>
          <w:lang w:val="en-GB" w:eastAsia="en-US"/>
        </w:rPr>
        <w:t xml:space="preserve">Genuine Occupational Requirements </w:t>
      </w:r>
    </w:p>
    <w:p w14:paraId="3FE9E4A9" w14:textId="306B9C04" w:rsidR="00CD124D" w:rsidRPr="00D84D56" w:rsidRDefault="00BD1D6B" w:rsidP="001306D4">
      <w:pPr>
        <w:rPr>
          <w:rFonts w:cs="Arial"/>
          <w:color w:val="000000"/>
          <w:szCs w:val="22"/>
          <w:lang w:val="en-GB"/>
        </w:rPr>
      </w:pPr>
      <w:r w:rsidRPr="00D84D56">
        <w:rPr>
          <w:rFonts w:cs="Arial"/>
          <w:color w:val="000000"/>
          <w:szCs w:val="22"/>
          <w:lang w:val="en-GB"/>
        </w:rPr>
        <w:t>Under the</w:t>
      </w:r>
      <w:r w:rsidR="00CD124D" w:rsidRPr="00D84D56">
        <w:rPr>
          <w:rFonts w:cs="Arial"/>
          <w:color w:val="000000"/>
          <w:szCs w:val="22"/>
          <w:lang w:val="en-GB"/>
        </w:rPr>
        <w:t xml:space="preserve"> Equality Act 2010</w:t>
      </w:r>
      <w:r w:rsidR="0038611E" w:rsidRPr="00D84D56">
        <w:rPr>
          <w:rFonts w:cs="Arial"/>
          <w:color w:val="000000"/>
          <w:szCs w:val="22"/>
          <w:lang w:val="en-GB"/>
        </w:rPr>
        <w:t>,</w:t>
      </w:r>
      <w:r w:rsidR="00CD124D" w:rsidRPr="00D84D56">
        <w:rPr>
          <w:rFonts w:cs="Arial"/>
          <w:color w:val="000000"/>
          <w:szCs w:val="22"/>
          <w:lang w:val="en-GB"/>
        </w:rPr>
        <w:t xml:space="preserve"> employers may discriminate lawfully in limited circumstances: where, having regard to the nature or context of </w:t>
      </w:r>
      <w:r w:rsidR="004E028F" w:rsidRPr="00D84D56">
        <w:rPr>
          <w:rFonts w:cs="Arial"/>
          <w:color w:val="000000"/>
          <w:szCs w:val="22"/>
          <w:lang w:val="en-GB"/>
        </w:rPr>
        <w:t>a job</w:t>
      </w:r>
      <w:r w:rsidR="00CD124D" w:rsidRPr="00D84D56">
        <w:rPr>
          <w:rFonts w:cs="Arial"/>
          <w:color w:val="000000"/>
          <w:szCs w:val="22"/>
          <w:lang w:val="en-GB"/>
        </w:rPr>
        <w:t xml:space="preserve">, being of a particular </w:t>
      </w:r>
      <w:r w:rsidR="004E028F" w:rsidRPr="00D84D56">
        <w:rPr>
          <w:rFonts w:cs="Arial"/>
          <w:color w:val="000000"/>
          <w:szCs w:val="22"/>
          <w:lang w:val="en-GB"/>
        </w:rPr>
        <w:t>protected characteristic (</w:t>
      </w:r>
      <w:r w:rsidR="00C953B3">
        <w:rPr>
          <w:rFonts w:cs="Arial"/>
          <w:color w:val="000000"/>
          <w:szCs w:val="22"/>
          <w:lang w:val="en-GB"/>
        </w:rPr>
        <w:t>for example,</w:t>
      </w:r>
      <w:r w:rsidR="004E028F" w:rsidRPr="00D84D56">
        <w:rPr>
          <w:rFonts w:cs="Arial"/>
          <w:color w:val="000000"/>
          <w:szCs w:val="22"/>
          <w:lang w:val="en-GB"/>
        </w:rPr>
        <w:t xml:space="preserve"> </w:t>
      </w:r>
      <w:r w:rsidR="00CD124D" w:rsidRPr="00D84D56">
        <w:rPr>
          <w:rFonts w:cs="Arial"/>
          <w:color w:val="000000"/>
          <w:szCs w:val="22"/>
          <w:lang w:val="en-GB"/>
        </w:rPr>
        <w:t>sex</w:t>
      </w:r>
      <w:r w:rsidR="004E028F" w:rsidRPr="00D84D56">
        <w:rPr>
          <w:rFonts w:cs="Arial"/>
          <w:color w:val="000000"/>
          <w:szCs w:val="22"/>
          <w:lang w:val="en-GB"/>
        </w:rPr>
        <w:t xml:space="preserve"> or </w:t>
      </w:r>
      <w:r w:rsidR="00CD124D" w:rsidRPr="00D84D56">
        <w:rPr>
          <w:rFonts w:cs="Arial"/>
          <w:color w:val="000000"/>
          <w:szCs w:val="22"/>
          <w:lang w:val="en-GB"/>
        </w:rPr>
        <w:t>not being a transsexual person) is an occupational requirement.</w:t>
      </w:r>
    </w:p>
    <w:p w14:paraId="0AF5EBF5" w14:textId="77777777" w:rsidR="004E028F" w:rsidRPr="00D84D56" w:rsidRDefault="004E028F" w:rsidP="001306D4">
      <w:pPr>
        <w:rPr>
          <w:rFonts w:cs="Arial"/>
          <w:color w:val="000000"/>
          <w:szCs w:val="22"/>
          <w:lang w:val="en-GB"/>
        </w:rPr>
      </w:pPr>
    </w:p>
    <w:p w14:paraId="1769D133" w14:textId="77777777" w:rsidR="002830F5" w:rsidRPr="00D84D56" w:rsidRDefault="002830F5" w:rsidP="002830F5">
      <w:pPr>
        <w:rPr>
          <w:rFonts w:cs="Arial"/>
          <w:lang w:val="en-GB"/>
        </w:rPr>
      </w:pPr>
      <w:r w:rsidRPr="00D84D56">
        <w:rPr>
          <w:rFonts w:cs="Arial"/>
          <w:lang w:val="en-GB"/>
        </w:rPr>
        <w:t>Some examples are jobs that involve:</w:t>
      </w:r>
    </w:p>
    <w:p w14:paraId="518B5809" w14:textId="77777777" w:rsidR="002830F5" w:rsidRPr="00D84D56" w:rsidRDefault="002830F5" w:rsidP="002830F5">
      <w:pPr>
        <w:numPr>
          <w:ilvl w:val="0"/>
          <w:numId w:val="24"/>
        </w:numPr>
        <w:rPr>
          <w:rFonts w:cs="Arial"/>
          <w:lang w:val="en-GB"/>
        </w:rPr>
      </w:pPr>
      <w:r w:rsidRPr="00D84D56">
        <w:rPr>
          <w:rFonts w:cs="Arial"/>
          <w:lang w:val="en-GB"/>
        </w:rPr>
        <w:t>conducting personal searches pursuant to statutory powers;</w:t>
      </w:r>
    </w:p>
    <w:p w14:paraId="69BD282F" w14:textId="77777777" w:rsidR="002830F5" w:rsidRPr="00D84D56" w:rsidRDefault="002830F5" w:rsidP="002830F5">
      <w:pPr>
        <w:numPr>
          <w:ilvl w:val="0"/>
          <w:numId w:val="24"/>
        </w:numPr>
        <w:rPr>
          <w:rFonts w:cs="Arial"/>
          <w:lang w:val="en-GB"/>
        </w:rPr>
      </w:pPr>
      <w:r w:rsidRPr="00D84D56">
        <w:rPr>
          <w:rFonts w:cs="Arial"/>
          <w:lang w:val="en-GB"/>
        </w:rPr>
        <w:t>working in supported housing/ care or a private home where there would be close physical or social contact, or knowledge of the intimate details of a person’s life, and the employer can show that people may object; or</w:t>
      </w:r>
    </w:p>
    <w:p w14:paraId="18BB87E4" w14:textId="77777777" w:rsidR="002830F5" w:rsidRPr="00D84D56" w:rsidRDefault="002830F5" w:rsidP="002830F5">
      <w:pPr>
        <w:numPr>
          <w:ilvl w:val="0"/>
          <w:numId w:val="24"/>
        </w:numPr>
        <w:rPr>
          <w:rFonts w:cs="Arial"/>
          <w:lang w:val="en-GB"/>
        </w:rPr>
      </w:pPr>
      <w:r w:rsidRPr="00D84D56">
        <w:rPr>
          <w:rFonts w:cs="Arial"/>
          <w:lang w:val="en-GB"/>
        </w:rPr>
        <w:t>single-sex counselling services for survivors of sexual violence.</w:t>
      </w:r>
    </w:p>
    <w:p w14:paraId="6D58F01F" w14:textId="77777777" w:rsidR="002830F5" w:rsidRPr="00D84D56" w:rsidRDefault="002830F5" w:rsidP="001306D4">
      <w:pPr>
        <w:rPr>
          <w:rFonts w:cs="Arial"/>
          <w:color w:val="000000"/>
          <w:szCs w:val="22"/>
          <w:lang w:val="en-GB"/>
        </w:rPr>
      </w:pPr>
    </w:p>
    <w:bookmarkEnd w:id="11"/>
    <w:p w14:paraId="0800BB3E" w14:textId="77777777" w:rsidR="0036441A" w:rsidRPr="00D84D56" w:rsidRDefault="0036441A" w:rsidP="0036441A">
      <w:pPr>
        <w:rPr>
          <w:rFonts w:cs="Arial"/>
          <w:color w:val="000000"/>
          <w:szCs w:val="22"/>
          <w:lang w:val="en-GB"/>
        </w:rPr>
      </w:pPr>
      <w:r w:rsidRPr="00D84D56">
        <w:rPr>
          <w:rFonts w:cs="Arial"/>
          <w:lang w:val="en-GB"/>
        </w:rPr>
        <w:t>Please</w:t>
      </w:r>
      <w:r w:rsidRPr="00D84D56">
        <w:rPr>
          <w:rFonts w:cs="Arial"/>
          <w:color w:val="000000"/>
          <w:szCs w:val="22"/>
          <w:lang w:val="en-GB"/>
        </w:rPr>
        <w:t xml:space="preserve"> refer to the </w:t>
      </w:r>
      <w:hyperlink r:id="rId24" w:history="1">
        <w:r w:rsidRPr="00D84D56">
          <w:rPr>
            <w:rStyle w:val="Hyperlink"/>
            <w:rFonts w:cs="Arial"/>
            <w:szCs w:val="22"/>
            <w:lang w:val="en-GB"/>
          </w:rPr>
          <w:t>Recruitment and Selection Policy</w:t>
        </w:r>
      </w:hyperlink>
      <w:r w:rsidRPr="00D84D56">
        <w:rPr>
          <w:rFonts w:cs="Arial"/>
          <w:color w:val="000000"/>
          <w:szCs w:val="22"/>
          <w:lang w:val="en-GB"/>
        </w:rPr>
        <w:t xml:space="preserve"> for detail on this process. </w:t>
      </w:r>
    </w:p>
    <w:p w14:paraId="1F1BF53E" w14:textId="77777777" w:rsidR="0036441A" w:rsidRPr="00D84D56" w:rsidRDefault="0036441A" w:rsidP="001306D4">
      <w:pPr>
        <w:rPr>
          <w:rFonts w:cs="Arial"/>
          <w:color w:val="000000"/>
          <w:szCs w:val="22"/>
          <w:lang w:val="en-GB"/>
        </w:rPr>
      </w:pPr>
    </w:p>
    <w:p w14:paraId="04AB52E9" w14:textId="5F091767" w:rsidR="00E520C7" w:rsidRPr="00D84D56" w:rsidRDefault="00A31BDB" w:rsidP="001306D4">
      <w:pPr>
        <w:rPr>
          <w:rFonts w:cs="Arial"/>
          <w:lang w:val="en-GB"/>
        </w:rPr>
      </w:pPr>
      <w:r>
        <w:rPr>
          <w:rFonts w:cs="Arial"/>
          <w:lang w:val="en-GB"/>
        </w:rPr>
        <w:t>T</w:t>
      </w:r>
      <w:r w:rsidR="00167471" w:rsidRPr="00D84D56">
        <w:rPr>
          <w:rFonts w:cs="Arial"/>
          <w:lang w:val="en-GB"/>
        </w:rPr>
        <w:t>his section largely refers to</w:t>
      </w:r>
      <w:r w:rsidR="00E520C7" w:rsidRPr="00D84D56">
        <w:rPr>
          <w:rFonts w:cs="Arial"/>
          <w:lang w:val="en-GB"/>
        </w:rPr>
        <w:t xml:space="preserve"> candidates who:</w:t>
      </w:r>
    </w:p>
    <w:p w14:paraId="3B98564A" w14:textId="77777777" w:rsidR="00E520C7" w:rsidRPr="00D84D56" w:rsidRDefault="00E520C7" w:rsidP="00E520C7">
      <w:pPr>
        <w:numPr>
          <w:ilvl w:val="0"/>
          <w:numId w:val="24"/>
        </w:numPr>
        <w:rPr>
          <w:rFonts w:cs="Arial"/>
          <w:lang w:val="en-GB"/>
        </w:rPr>
      </w:pPr>
      <w:r w:rsidRPr="00D84D56">
        <w:rPr>
          <w:rFonts w:cs="Arial"/>
          <w:lang w:val="en-GB"/>
        </w:rPr>
        <w:t>self-identity as and/ or present in the gender that is opposite to the required by the role gender;</w:t>
      </w:r>
    </w:p>
    <w:p w14:paraId="5E331DB6" w14:textId="77777777" w:rsidR="00E520C7" w:rsidRPr="00D84D56" w:rsidRDefault="00167471" w:rsidP="00E520C7">
      <w:pPr>
        <w:numPr>
          <w:ilvl w:val="0"/>
          <w:numId w:val="24"/>
        </w:numPr>
        <w:rPr>
          <w:rFonts w:cs="Arial"/>
          <w:lang w:val="en-GB"/>
        </w:rPr>
      </w:pPr>
      <w:r w:rsidRPr="00D84D56">
        <w:rPr>
          <w:rFonts w:cs="Arial"/>
          <w:lang w:val="en-GB"/>
        </w:rPr>
        <w:t>are undergoing</w:t>
      </w:r>
      <w:r w:rsidR="008A1780" w:rsidRPr="00D84D56">
        <w:rPr>
          <w:rFonts w:cs="Arial"/>
          <w:lang w:val="en-GB"/>
        </w:rPr>
        <w:t xml:space="preserve"> </w:t>
      </w:r>
      <w:r w:rsidRPr="00D84D56">
        <w:rPr>
          <w:rFonts w:cs="Arial"/>
          <w:lang w:val="en-GB"/>
        </w:rPr>
        <w:t>or plan to undergo a transition process</w:t>
      </w:r>
      <w:r w:rsidR="00E520C7" w:rsidRPr="00D84D56">
        <w:rPr>
          <w:rFonts w:cs="Arial"/>
          <w:lang w:val="en-GB"/>
        </w:rPr>
        <w:t xml:space="preserve"> to the gender that is opposite to the required by the role gender.</w:t>
      </w:r>
    </w:p>
    <w:p w14:paraId="6A07BE3C" w14:textId="77777777" w:rsidR="0036441A" w:rsidRPr="00D84D56" w:rsidRDefault="0036441A" w:rsidP="00E520C7">
      <w:pPr>
        <w:rPr>
          <w:rFonts w:cs="Arial"/>
          <w:lang w:val="en-GB"/>
        </w:rPr>
      </w:pPr>
    </w:p>
    <w:p w14:paraId="4619EBF2" w14:textId="77777777" w:rsidR="001306D4" w:rsidRPr="00D84D56" w:rsidRDefault="001306D4" w:rsidP="001306D4">
      <w:pPr>
        <w:rPr>
          <w:rFonts w:cs="Arial"/>
          <w:color w:val="000000"/>
          <w:szCs w:val="22"/>
          <w:lang w:val="en-GB"/>
        </w:rPr>
      </w:pPr>
      <w:r w:rsidRPr="00D84D56">
        <w:rPr>
          <w:rFonts w:cs="Arial"/>
          <w:lang w:val="en-GB"/>
        </w:rPr>
        <w:t xml:space="preserve">The Council is committed to ensuring that potential employees are not </w:t>
      </w:r>
      <w:r w:rsidR="00485A6F" w:rsidRPr="00D84D56">
        <w:rPr>
          <w:rFonts w:cs="Arial"/>
          <w:lang w:val="en-GB"/>
        </w:rPr>
        <w:t xml:space="preserve">unlawfully </w:t>
      </w:r>
      <w:r w:rsidRPr="00D84D56">
        <w:rPr>
          <w:rFonts w:cs="Arial"/>
          <w:lang w:val="en-GB"/>
        </w:rPr>
        <w:t>discriminated against at any stage of the recruitment process.</w:t>
      </w:r>
      <w:r w:rsidR="0036441A" w:rsidRPr="00D84D56">
        <w:rPr>
          <w:rFonts w:cs="Arial"/>
          <w:color w:val="000000"/>
          <w:szCs w:val="22"/>
          <w:lang w:val="en-GB"/>
        </w:rPr>
        <w:t xml:space="preserve"> </w:t>
      </w:r>
      <w:r w:rsidRPr="00D84D56">
        <w:rPr>
          <w:rFonts w:cs="Arial"/>
          <w:lang w:val="en-GB"/>
        </w:rPr>
        <w:t>Where there is a genuine occupational requirement for a job to be carried out by a particular sex</w:t>
      </w:r>
      <w:r w:rsidR="0036441A" w:rsidRPr="00D84D56">
        <w:rPr>
          <w:rFonts w:cs="Arial"/>
          <w:lang w:val="en-GB"/>
        </w:rPr>
        <w:t xml:space="preserve"> or gender</w:t>
      </w:r>
      <w:r w:rsidRPr="00D84D56">
        <w:rPr>
          <w:rFonts w:cs="Arial"/>
          <w:lang w:val="en-GB"/>
        </w:rPr>
        <w:t>,</w:t>
      </w:r>
      <w:r w:rsidR="004C7424" w:rsidRPr="00D84D56">
        <w:rPr>
          <w:rFonts w:cs="Arial"/>
          <w:lang w:val="en-GB"/>
        </w:rPr>
        <w:t xml:space="preserve"> </w:t>
      </w:r>
      <w:r w:rsidR="00022D05" w:rsidRPr="00D84D56">
        <w:rPr>
          <w:rFonts w:cs="Arial"/>
          <w:lang w:val="en-GB"/>
        </w:rPr>
        <w:t>this would have to be Equality Impact assessed and rigorously justified under the Equality Act 2010. It would have to</w:t>
      </w:r>
      <w:r w:rsidR="004C7424" w:rsidRPr="00D84D56">
        <w:rPr>
          <w:rFonts w:cs="Arial"/>
          <w:lang w:val="en-GB"/>
        </w:rPr>
        <w:t xml:space="preserve"> be proven that</w:t>
      </w:r>
      <w:r w:rsidRPr="00D84D56">
        <w:rPr>
          <w:rFonts w:cs="Arial"/>
          <w:lang w:val="en-GB"/>
        </w:rPr>
        <w:t xml:space="preserve"> </w:t>
      </w:r>
      <w:r w:rsidR="004C7424" w:rsidRPr="00D84D56">
        <w:rPr>
          <w:rFonts w:cs="Arial"/>
          <w:lang w:val="en-GB"/>
        </w:rPr>
        <w:t>excluding trans</w:t>
      </w:r>
      <w:r w:rsidR="0036441A" w:rsidRPr="00D84D56">
        <w:rPr>
          <w:rFonts w:cs="Arial"/>
          <w:lang w:val="en-GB"/>
        </w:rPr>
        <w:t xml:space="preserve"> or gender non-conforming</w:t>
      </w:r>
      <w:r w:rsidR="004C7424" w:rsidRPr="00D84D56">
        <w:rPr>
          <w:rFonts w:cs="Arial"/>
          <w:lang w:val="en-GB"/>
        </w:rPr>
        <w:t xml:space="preserve"> people is a proportionate means to achieving a legitimate aim, </w:t>
      </w:r>
      <w:r w:rsidR="00022D05" w:rsidRPr="00D84D56">
        <w:rPr>
          <w:rFonts w:cs="Arial"/>
          <w:lang w:val="en-GB"/>
        </w:rPr>
        <w:t xml:space="preserve">in which case </w:t>
      </w:r>
      <w:r w:rsidRPr="00D84D56">
        <w:rPr>
          <w:rFonts w:cs="Arial"/>
          <w:lang w:val="en-GB"/>
        </w:rPr>
        <w:t xml:space="preserve">it will be necessary for the applicant to disclose their status to the panel, unless the </w:t>
      </w:r>
      <w:r w:rsidR="004C7424" w:rsidRPr="00D84D56">
        <w:rPr>
          <w:rFonts w:cs="Arial"/>
          <w:lang w:val="en-GB"/>
        </w:rPr>
        <w:t>they have</w:t>
      </w:r>
      <w:r w:rsidRPr="00D84D56">
        <w:rPr>
          <w:rFonts w:cs="Arial"/>
          <w:lang w:val="en-GB"/>
        </w:rPr>
        <w:t xml:space="preserve"> obtained a Gender Recognition Certificate.</w:t>
      </w:r>
    </w:p>
    <w:p w14:paraId="311EBE83" w14:textId="77777777" w:rsidR="0036441A" w:rsidRPr="00D84D56" w:rsidRDefault="0036441A" w:rsidP="001306D4">
      <w:pPr>
        <w:rPr>
          <w:rFonts w:cs="Arial"/>
          <w:lang w:val="en-GB"/>
        </w:rPr>
      </w:pPr>
    </w:p>
    <w:p w14:paraId="037F8541" w14:textId="77777777" w:rsidR="001306D4" w:rsidRPr="00D84D56" w:rsidRDefault="001306D4" w:rsidP="001306D4">
      <w:pPr>
        <w:rPr>
          <w:rFonts w:cs="Arial"/>
          <w:lang w:val="en-GB"/>
        </w:rPr>
      </w:pPr>
      <w:r w:rsidRPr="00D84D56">
        <w:rPr>
          <w:rFonts w:cs="Arial"/>
          <w:lang w:val="en-GB"/>
        </w:rPr>
        <w:t xml:space="preserve">If an individual has transitioned prior to joining the Council and has disclosed this, the </w:t>
      </w:r>
      <w:r w:rsidR="00D005FE" w:rsidRPr="00D84D56">
        <w:rPr>
          <w:rFonts w:cs="Arial"/>
          <w:lang w:val="en-GB"/>
        </w:rPr>
        <w:t>Council</w:t>
      </w:r>
      <w:r w:rsidRPr="00D84D56">
        <w:rPr>
          <w:rFonts w:cs="Arial"/>
          <w:lang w:val="en-GB"/>
        </w:rPr>
        <w:t xml:space="preserve"> </w:t>
      </w:r>
      <w:r w:rsidR="00D005FE" w:rsidRPr="00D84D56">
        <w:rPr>
          <w:rFonts w:cs="Arial"/>
          <w:lang w:val="en-GB"/>
        </w:rPr>
        <w:t>will</w:t>
      </w:r>
      <w:r w:rsidRPr="00D84D56">
        <w:rPr>
          <w:rFonts w:cs="Arial"/>
          <w:lang w:val="en-GB"/>
        </w:rPr>
        <w:t xml:space="preserve"> make no mention of this history. This includes employees selected for promotion or redeployed elsewhere across the </w:t>
      </w:r>
      <w:r w:rsidR="00D005FE" w:rsidRPr="00D84D56">
        <w:rPr>
          <w:rFonts w:cs="Arial"/>
          <w:lang w:val="en-GB"/>
        </w:rPr>
        <w:t>C</w:t>
      </w:r>
      <w:r w:rsidRPr="00D84D56">
        <w:rPr>
          <w:rFonts w:cs="Arial"/>
          <w:lang w:val="en-GB"/>
        </w:rPr>
        <w:t>ouncil. This could constitute a criminal offence in the case of an individual who has obtained a Gender Recognition Certificate.</w:t>
      </w:r>
    </w:p>
    <w:p w14:paraId="4E27C409" w14:textId="77777777" w:rsidR="001306D4" w:rsidRPr="00D84D56" w:rsidRDefault="001306D4" w:rsidP="001306D4">
      <w:pPr>
        <w:rPr>
          <w:rFonts w:cs="Arial"/>
          <w:lang w:val="en-GB"/>
        </w:rPr>
      </w:pPr>
      <w:r w:rsidRPr="00D84D56">
        <w:rPr>
          <w:rFonts w:cs="Arial"/>
          <w:lang w:val="en-GB"/>
        </w:rPr>
        <w:tab/>
      </w:r>
    </w:p>
    <w:p w14:paraId="66987AAA" w14:textId="1BD2B12C" w:rsidR="001306D4" w:rsidRPr="00D84D56" w:rsidRDefault="001306D4" w:rsidP="001306D4">
      <w:pPr>
        <w:rPr>
          <w:rFonts w:cs="Arial"/>
          <w:lang w:val="en-GB"/>
        </w:rPr>
      </w:pPr>
      <w:r w:rsidRPr="00D84D56">
        <w:rPr>
          <w:rFonts w:cs="Arial"/>
          <w:lang w:val="en-GB"/>
        </w:rPr>
        <w:t xml:space="preserve">Any documents relating to the applicant’s status that are provided during the recruitment and selection process will be considered </w:t>
      </w:r>
      <w:r w:rsidR="00D005FE" w:rsidRPr="00D84D56">
        <w:rPr>
          <w:rFonts w:cs="Arial"/>
          <w:lang w:val="en-GB"/>
        </w:rPr>
        <w:t xml:space="preserve">as </w:t>
      </w:r>
      <w:r w:rsidRPr="00D84D56">
        <w:rPr>
          <w:rFonts w:cs="Arial"/>
          <w:lang w:val="en-GB"/>
        </w:rPr>
        <w:t>strictly confidential. Any such information and data will be treated with absolute discretion between the individual, interview panel and Human Resources.</w:t>
      </w:r>
    </w:p>
    <w:p w14:paraId="02A6AD18" w14:textId="77777777" w:rsidR="001306D4" w:rsidRPr="00D84D56" w:rsidRDefault="001306D4" w:rsidP="001306D4">
      <w:pPr>
        <w:tabs>
          <w:tab w:val="num" w:pos="-567"/>
        </w:tabs>
        <w:autoSpaceDE w:val="0"/>
        <w:autoSpaceDN w:val="0"/>
        <w:adjustRightInd w:val="0"/>
        <w:ind w:hanging="567"/>
        <w:rPr>
          <w:rFonts w:cs="Arial"/>
          <w:color w:val="000000"/>
          <w:szCs w:val="22"/>
          <w:lang w:val="en-GB"/>
        </w:rPr>
      </w:pPr>
    </w:p>
    <w:p w14:paraId="4F4B2352" w14:textId="77777777" w:rsidR="001306D4" w:rsidRPr="00D84D56" w:rsidRDefault="001306D4" w:rsidP="008A1780">
      <w:pPr>
        <w:numPr>
          <w:ilvl w:val="1"/>
          <w:numId w:val="1"/>
        </w:numPr>
        <w:ind w:left="-135"/>
        <w:rPr>
          <w:rFonts w:cs="Arial"/>
          <w:b/>
          <w:color w:val="000000"/>
          <w:szCs w:val="22"/>
          <w:lang w:val="en-GB"/>
        </w:rPr>
      </w:pPr>
      <w:r w:rsidRPr="00D84D56">
        <w:rPr>
          <w:b/>
          <w:szCs w:val="22"/>
          <w:lang w:val="en-GB" w:eastAsia="en-US"/>
        </w:rPr>
        <w:tab/>
        <w:t xml:space="preserve">Disclosure and Barring Service </w:t>
      </w:r>
    </w:p>
    <w:p w14:paraId="1F8388AB" w14:textId="328B6D82" w:rsidR="004430B0" w:rsidRPr="00484E06" w:rsidRDefault="004430B0" w:rsidP="004430B0">
      <w:pPr>
        <w:pStyle w:val="xmsonormal"/>
        <w:rPr>
          <w:rFonts w:ascii="Arial" w:hAnsi="Arial" w:cs="Arial"/>
        </w:rPr>
      </w:pPr>
      <w:r w:rsidRPr="00484E06">
        <w:rPr>
          <w:rFonts w:ascii="Arial" w:hAnsi="Arial" w:cs="Arial"/>
        </w:rPr>
        <w:t>The DBS offers a confidential checking process</w:t>
      </w:r>
      <w:r>
        <w:rPr>
          <w:rFonts w:ascii="Arial" w:hAnsi="Arial" w:cs="Arial"/>
        </w:rPr>
        <w:t xml:space="preserve">, which </w:t>
      </w:r>
      <w:r w:rsidRPr="00484E06">
        <w:rPr>
          <w:rFonts w:ascii="Arial" w:hAnsi="Arial" w:cs="Arial"/>
        </w:rPr>
        <w:t>gives applicants</w:t>
      </w:r>
      <w:r>
        <w:rPr>
          <w:rFonts w:ascii="Arial" w:hAnsi="Arial" w:cs="Arial"/>
        </w:rPr>
        <w:t xml:space="preserve"> undergoing or having undergone transition</w:t>
      </w:r>
      <w:r w:rsidRPr="00484E06">
        <w:rPr>
          <w:rFonts w:ascii="Arial" w:hAnsi="Arial" w:cs="Arial"/>
        </w:rPr>
        <w:t xml:space="preserve"> the choice </w:t>
      </w:r>
      <w:r>
        <w:rPr>
          <w:rFonts w:ascii="Arial" w:hAnsi="Arial" w:cs="Arial"/>
        </w:rPr>
        <w:t>to have</w:t>
      </w:r>
      <w:r w:rsidRPr="00484E06">
        <w:rPr>
          <w:rFonts w:ascii="Arial" w:hAnsi="Arial" w:cs="Arial"/>
        </w:rPr>
        <w:t xml:space="preserve"> their previous gender </w:t>
      </w:r>
      <w:r>
        <w:rPr>
          <w:rFonts w:ascii="Arial" w:hAnsi="Arial" w:cs="Arial"/>
        </w:rPr>
        <w:t xml:space="preserve">or name(s) </w:t>
      </w:r>
      <w:r w:rsidRPr="00484E06">
        <w:rPr>
          <w:rFonts w:ascii="Arial" w:hAnsi="Arial" w:cs="Arial"/>
        </w:rPr>
        <w:t>be disclosed on their DBS Certificate.</w:t>
      </w:r>
      <w:r>
        <w:rPr>
          <w:rFonts w:ascii="Arial" w:hAnsi="Arial" w:cs="Arial"/>
        </w:rPr>
        <w:t xml:space="preserve"> The options DBS provide cover almost all situations individuals can find themselves in, regarding available ID in the previous or now name and gender.</w:t>
      </w:r>
    </w:p>
    <w:p w14:paraId="17C945B2" w14:textId="77777777" w:rsidR="004430B0" w:rsidRDefault="004430B0" w:rsidP="00CD06BF">
      <w:pPr>
        <w:rPr>
          <w:rFonts w:cs="Arial"/>
          <w:szCs w:val="22"/>
          <w:lang w:val="en-GB"/>
        </w:rPr>
      </w:pPr>
    </w:p>
    <w:p w14:paraId="48E8A8CE" w14:textId="2C60E234" w:rsidR="001306D4" w:rsidRPr="00D84D56" w:rsidRDefault="00A31BDB" w:rsidP="00CD06BF">
      <w:pPr>
        <w:rPr>
          <w:rFonts w:cs="Arial"/>
          <w:lang w:val="en-GB"/>
        </w:rPr>
      </w:pPr>
      <w:r>
        <w:rPr>
          <w:rFonts w:cs="Arial"/>
          <w:szCs w:val="22"/>
          <w:lang w:val="en-GB"/>
        </w:rPr>
        <w:t>Please refer to the Council’s DBS guidance</w:t>
      </w:r>
      <w:r w:rsidR="00CD06BF">
        <w:rPr>
          <w:rFonts w:cs="Arial"/>
          <w:szCs w:val="22"/>
          <w:lang w:val="en-GB"/>
        </w:rPr>
        <w:t xml:space="preserve"> </w:t>
      </w:r>
      <w:hyperlink r:id="rId25" w:history="1">
        <w:r w:rsidR="00CD06BF" w:rsidRPr="00AF1BB5">
          <w:rPr>
            <w:rStyle w:val="Hyperlink"/>
            <w:rFonts w:cs="Arial"/>
            <w:szCs w:val="22"/>
            <w:lang w:val="en-GB"/>
          </w:rPr>
          <w:t>here</w:t>
        </w:r>
      </w:hyperlink>
      <w:r w:rsidR="00CD06BF">
        <w:rPr>
          <w:rFonts w:cs="Arial"/>
          <w:szCs w:val="22"/>
          <w:lang w:val="en-GB"/>
        </w:rPr>
        <w:t xml:space="preserve"> for further information.</w:t>
      </w:r>
    </w:p>
    <w:p w14:paraId="20A0BEBB" w14:textId="77777777" w:rsidR="001306D4" w:rsidRPr="00D84D56" w:rsidRDefault="001306D4" w:rsidP="001306D4">
      <w:pPr>
        <w:pStyle w:val="ListParagraph"/>
        <w:spacing w:line="276" w:lineRule="auto"/>
        <w:ind w:left="0"/>
        <w:contextualSpacing/>
        <w:rPr>
          <w:rFonts w:cs="Arial"/>
          <w:lang w:val="en-GB"/>
        </w:rPr>
      </w:pPr>
    </w:p>
    <w:p w14:paraId="51C1C1E2" w14:textId="77777777" w:rsidR="001306D4" w:rsidRPr="00D84D56" w:rsidRDefault="001306D4" w:rsidP="008A1780">
      <w:pPr>
        <w:numPr>
          <w:ilvl w:val="1"/>
          <w:numId w:val="1"/>
        </w:numPr>
        <w:ind w:left="-135"/>
        <w:rPr>
          <w:rFonts w:cs="Arial"/>
          <w:b/>
          <w:color w:val="000000"/>
          <w:szCs w:val="22"/>
          <w:lang w:val="en-GB"/>
        </w:rPr>
      </w:pPr>
      <w:r w:rsidRPr="00D84D56">
        <w:rPr>
          <w:b/>
          <w:szCs w:val="22"/>
          <w:lang w:val="en-GB" w:eastAsia="en-US"/>
        </w:rPr>
        <w:tab/>
        <w:t>References</w:t>
      </w:r>
    </w:p>
    <w:p w14:paraId="1137CC8D" w14:textId="77777777" w:rsidR="001306D4" w:rsidRPr="00D84D56" w:rsidRDefault="001306D4" w:rsidP="001306D4">
      <w:pPr>
        <w:rPr>
          <w:rFonts w:cs="Arial"/>
          <w:szCs w:val="22"/>
          <w:lang w:val="en-GB"/>
        </w:rPr>
      </w:pPr>
      <w:r w:rsidRPr="00D84D56">
        <w:rPr>
          <w:rFonts w:cs="Arial"/>
          <w:szCs w:val="22"/>
          <w:lang w:val="en-GB"/>
        </w:rPr>
        <w:t xml:space="preserve">When providing references to a prospective new employer, the reference </w:t>
      </w:r>
      <w:r w:rsidR="00E92D4A" w:rsidRPr="00D84D56">
        <w:rPr>
          <w:rFonts w:cs="Arial"/>
          <w:szCs w:val="22"/>
          <w:lang w:val="en-GB"/>
        </w:rPr>
        <w:t>will</w:t>
      </w:r>
      <w:r w:rsidRPr="00D84D56">
        <w:rPr>
          <w:rFonts w:cs="Arial"/>
          <w:szCs w:val="22"/>
          <w:lang w:val="en-GB"/>
        </w:rPr>
        <w:t xml:space="preserve"> be in the name which will be used in the new role. A reference must not disclose a former name. It may sometimes be necessary for a trans person to disclose a previous identity in order for references from past employers to be obtained. In these cases, strict confidentiality and respect for dignity must be applied and information kept secure.</w:t>
      </w:r>
    </w:p>
    <w:p w14:paraId="24AF01B6" w14:textId="77777777" w:rsidR="001306D4" w:rsidRPr="00D84D56" w:rsidRDefault="001306D4" w:rsidP="001306D4">
      <w:pPr>
        <w:autoSpaceDE w:val="0"/>
        <w:autoSpaceDN w:val="0"/>
        <w:adjustRightInd w:val="0"/>
        <w:ind w:hanging="567"/>
        <w:rPr>
          <w:rFonts w:cs="Arial"/>
          <w:b/>
          <w:color w:val="000000"/>
          <w:szCs w:val="22"/>
          <w:lang w:val="en-GB"/>
        </w:rPr>
      </w:pPr>
    </w:p>
    <w:p w14:paraId="68E15757" w14:textId="77777777" w:rsidR="001306D4" w:rsidRPr="00D84D56" w:rsidRDefault="001306D4" w:rsidP="008A1780">
      <w:pPr>
        <w:numPr>
          <w:ilvl w:val="1"/>
          <w:numId w:val="1"/>
        </w:numPr>
        <w:ind w:left="-135"/>
        <w:rPr>
          <w:rFonts w:cs="Arial"/>
          <w:b/>
          <w:color w:val="000000"/>
          <w:szCs w:val="22"/>
          <w:lang w:val="en-GB"/>
        </w:rPr>
      </w:pPr>
      <w:r w:rsidRPr="00D84D56">
        <w:rPr>
          <w:b/>
          <w:szCs w:val="22"/>
          <w:lang w:val="en-GB" w:eastAsia="en-US"/>
        </w:rPr>
        <w:tab/>
        <w:t xml:space="preserve">Work </w:t>
      </w:r>
      <w:r w:rsidR="008C6C5A" w:rsidRPr="00D84D56">
        <w:rPr>
          <w:b/>
          <w:szCs w:val="22"/>
          <w:lang w:val="en-GB" w:eastAsia="en-US"/>
        </w:rPr>
        <w:t>p</w:t>
      </w:r>
      <w:r w:rsidRPr="00D84D56">
        <w:rPr>
          <w:b/>
          <w:szCs w:val="22"/>
          <w:lang w:val="en-GB" w:eastAsia="en-US"/>
        </w:rPr>
        <w:t>ermits</w:t>
      </w:r>
    </w:p>
    <w:p w14:paraId="27E09599" w14:textId="77777777" w:rsidR="001306D4" w:rsidRPr="00D84D56" w:rsidRDefault="001306D4" w:rsidP="001306D4">
      <w:pPr>
        <w:rPr>
          <w:rFonts w:cs="Arial"/>
          <w:szCs w:val="22"/>
          <w:lang w:val="en-GB"/>
        </w:rPr>
      </w:pPr>
      <w:r w:rsidRPr="00D84D56">
        <w:rPr>
          <w:rFonts w:cs="Arial"/>
          <w:szCs w:val="22"/>
          <w:lang w:val="en-GB"/>
        </w:rPr>
        <w:t>Employees working for the Council on a work permit are required to comply with any work permit/</w:t>
      </w:r>
      <w:r w:rsidR="005702F3" w:rsidRPr="00D84D56">
        <w:rPr>
          <w:rFonts w:cs="Arial"/>
          <w:szCs w:val="22"/>
          <w:lang w:val="en-GB"/>
        </w:rPr>
        <w:t xml:space="preserve"> </w:t>
      </w:r>
      <w:r w:rsidRPr="00D84D56">
        <w:rPr>
          <w:rFonts w:cs="Arial"/>
          <w:szCs w:val="22"/>
          <w:lang w:val="en-GB"/>
        </w:rPr>
        <w:t>visa regulations which may relate specifically to name change or gender reassignment in order that the work permit/</w:t>
      </w:r>
      <w:r w:rsidR="005702F3" w:rsidRPr="00D84D56">
        <w:rPr>
          <w:rFonts w:cs="Arial"/>
          <w:szCs w:val="22"/>
          <w:lang w:val="en-GB"/>
        </w:rPr>
        <w:t xml:space="preserve"> </w:t>
      </w:r>
      <w:r w:rsidRPr="00D84D56">
        <w:rPr>
          <w:rFonts w:cs="Arial"/>
          <w:szCs w:val="22"/>
          <w:lang w:val="en-GB"/>
        </w:rPr>
        <w:t>visa continues to be valid.</w:t>
      </w:r>
    </w:p>
    <w:p w14:paraId="6DD7E51F" w14:textId="77777777" w:rsidR="001306D4" w:rsidRPr="00D84D56" w:rsidRDefault="001306D4" w:rsidP="001306D4">
      <w:pPr>
        <w:autoSpaceDE w:val="0"/>
        <w:autoSpaceDN w:val="0"/>
        <w:adjustRightInd w:val="0"/>
        <w:ind w:hanging="567"/>
        <w:rPr>
          <w:rFonts w:cs="Arial"/>
          <w:b/>
          <w:color w:val="000000"/>
          <w:szCs w:val="22"/>
          <w:lang w:val="en-GB"/>
        </w:rPr>
      </w:pPr>
    </w:p>
    <w:p w14:paraId="0E7DCE9A" w14:textId="77777777" w:rsidR="001306D4" w:rsidRPr="00D84D56" w:rsidRDefault="001306D4" w:rsidP="008A1780">
      <w:pPr>
        <w:numPr>
          <w:ilvl w:val="1"/>
          <w:numId w:val="1"/>
        </w:numPr>
        <w:ind w:left="-135"/>
        <w:rPr>
          <w:rFonts w:cs="Arial"/>
          <w:b/>
          <w:color w:val="000000"/>
          <w:szCs w:val="22"/>
          <w:lang w:val="en-GB"/>
        </w:rPr>
      </w:pPr>
      <w:r w:rsidRPr="00D84D56">
        <w:rPr>
          <w:b/>
          <w:szCs w:val="22"/>
          <w:lang w:val="en-GB" w:eastAsia="en-US"/>
        </w:rPr>
        <w:tab/>
        <w:t>National Insurance</w:t>
      </w:r>
    </w:p>
    <w:p w14:paraId="0B6B92A3" w14:textId="29873783" w:rsidR="001306D4" w:rsidRPr="00D84D56" w:rsidRDefault="001306D4" w:rsidP="001306D4">
      <w:pPr>
        <w:rPr>
          <w:rFonts w:cs="Arial"/>
          <w:szCs w:val="22"/>
          <w:lang w:val="en-GB"/>
        </w:rPr>
      </w:pPr>
      <w:r w:rsidRPr="00D84D56">
        <w:rPr>
          <w:rFonts w:cs="Arial"/>
          <w:szCs w:val="22"/>
          <w:lang w:val="en-GB"/>
        </w:rPr>
        <w:t>Employees who change their name will need to inform the Department of Works and Pension and HMRC to make appropriate changes to state pension and National Insurance contribution rates.</w:t>
      </w:r>
    </w:p>
    <w:p w14:paraId="38E51C88" w14:textId="77777777" w:rsidR="001306D4" w:rsidRPr="00D84D56" w:rsidRDefault="001306D4" w:rsidP="001306D4">
      <w:pPr>
        <w:rPr>
          <w:rFonts w:cs="Arial"/>
          <w:b/>
          <w:szCs w:val="22"/>
          <w:lang w:val="en-GB"/>
        </w:rPr>
      </w:pPr>
    </w:p>
    <w:p w14:paraId="4884526A" w14:textId="77777777" w:rsidR="001306D4" w:rsidRPr="00D84D56" w:rsidRDefault="001306D4" w:rsidP="008A1780">
      <w:pPr>
        <w:numPr>
          <w:ilvl w:val="1"/>
          <w:numId w:val="1"/>
        </w:numPr>
        <w:ind w:left="-135"/>
        <w:rPr>
          <w:rFonts w:cs="Arial"/>
          <w:b/>
          <w:color w:val="000000"/>
          <w:szCs w:val="22"/>
          <w:lang w:val="en-GB"/>
        </w:rPr>
      </w:pPr>
      <w:r w:rsidRPr="00D84D56">
        <w:rPr>
          <w:b/>
          <w:szCs w:val="22"/>
          <w:lang w:val="en-GB" w:eastAsia="en-US"/>
        </w:rPr>
        <w:tab/>
        <w:t>Pensions</w:t>
      </w:r>
    </w:p>
    <w:p w14:paraId="175A9184" w14:textId="10EB86A5" w:rsidR="001306D4" w:rsidRPr="00D84D56" w:rsidRDefault="001306D4" w:rsidP="001306D4">
      <w:pPr>
        <w:rPr>
          <w:rFonts w:cs="Arial"/>
          <w:szCs w:val="22"/>
          <w:lang w:val="en-GB"/>
        </w:rPr>
      </w:pPr>
      <w:r w:rsidRPr="00D84D56">
        <w:rPr>
          <w:rFonts w:cs="Arial"/>
          <w:szCs w:val="22"/>
          <w:lang w:val="en-GB"/>
        </w:rPr>
        <w:t>A person who</w:t>
      </w:r>
      <w:r w:rsidR="00F63B1C" w:rsidRPr="00D84D56">
        <w:rPr>
          <w:rFonts w:cs="Arial"/>
          <w:szCs w:val="22"/>
          <w:lang w:val="en-GB"/>
        </w:rPr>
        <w:t xml:space="preserve"> undergoes legal</w:t>
      </w:r>
      <w:r w:rsidRPr="00D84D56">
        <w:rPr>
          <w:rFonts w:cs="Arial"/>
          <w:szCs w:val="22"/>
          <w:lang w:val="en-GB"/>
        </w:rPr>
        <w:t xml:space="preserve"> </w:t>
      </w:r>
      <w:r w:rsidR="00F63B1C" w:rsidRPr="00D84D56">
        <w:rPr>
          <w:rFonts w:cs="Arial"/>
          <w:szCs w:val="22"/>
          <w:lang w:val="en-GB"/>
        </w:rPr>
        <w:t xml:space="preserve">transition and </w:t>
      </w:r>
      <w:r w:rsidRPr="00D84D56">
        <w:rPr>
          <w:rFonts w:cs="Arial"/>
          <w:szCs w:val="22"/>
          <w:lang w:val="en-GB"/>
        </w:rPr>
        <w:t xml:space="preserve">obtains a new birth certificate will be treated according to their </w:t>
      </w:r>
      <w:r w:rsidR="00167471" w:rsidRPr="00D84D56">
        <w:rPr>
          <w:rFonts w:cs="Arial"/>
          <w:szCs w:val="22"/>
          <w:lang w:val="en-GB"/>
        </w:rPr>
        <w:t>affirmed</w:t>
      </w:r>
      <w:r w:rsidRPr="00D84D56">
        <w:rPr>
          <w:rFonts w:cs="Arial"/>
          <w:szCs w:val="22"/>
          <w:lang w:val="en-GB"/>
        </w:rPr>
        <w:t xml:space="preserve"> gender for pension purposes. Trans people who do not obtain a new birth certificate retain their full pension rights in accordance with the sex that is recorded on their original birth certificate.</w:t>
      </w:r>
    </w:p>
    <w:p w14:paraId="088D22BD" w14:textId="77777777" w:rsidR="001306D4" w:rsidRPr="00D84D56" w:rsidRDefault="001306D4" w:rsidP="001306D4">
      <w:pPr>
        <w:autoSpaceDE w:val="0"/>
        <w:autoSpaceDN w:val="0"/>
        <w:adjustRightInd w:val="0"/>
        <w:ind w:hanging="567"/>
        <w:rPr>
          <w:rFonts w:cs="Arial"/>
          <w:b/>
          <w:color w:val="000000"/>
          <w:szCs w:val="22"/>
          <w:lang w:val="en-GB"/>
        </w:rPr>
      </w:pPr>
    </w:p>
    <w:p w14:paraId="297A5F77" w14:textId="77777777" w:rsidR="001306D4" w:rsidRPr="00D84D56" w:rsidRDefault="001306D4" w:rsidP="008A1780">
      <w:pPr>
        <w:numPr>
          <w:ilvl w:val="1"/>
          <w:numId w:val="1"/>
        </w:numPr>
        <w:ind w:left="-135"/>
        <w:rPr>
          <w:rFonts w:cs="Arial"/>
          <w:b/>
          <w:color w:val="000000"/>
          <w:szCs w:val="22"/>
          <w:lang w:val="en-GB"/>
        </w:rPr>
      </w:pPr>
      <w:r w:rsidRPr="00D84D56">
        <w:rPr>
          <w:b/>
          <w:szCs w:val="22"/>
          <w:lang w:val="en-GB" w:eastAsia="en-US"/>
        </w:rPr>
        <w:tab/>
        <w:t xml:space="preserve">Professional </w:t>
      </w:r>
      <w:r w:rsidR="008C6C5A" w:rsidRPr="00D84D56">
        <w:rPr>
          <w:b/>
          <w:szCs w:val="22"/>
          <w:lang w:val="en-GB" w:eastAsia="en-US"/>
        </w:rPr>
        <w:t>o</w:t>
      </w:r>
      <w:r w:rsidRPr="00D84D56">
        <w:rPr>
          <w:b/>
          <w:szCs w:val="22"/>
          <w:lang w:val="en-GB" w:eastAsia="en-US"/>
        </w:rPr>
        <w:t xml:space="preserve">rganisation </w:t>
      </w:r>
      <w:r w:rsidR="008C6C5A" w:rsidRPr="00D84D56">
        <w:rPr>
          <w:b/>
          <w:szCs w:val="22"/>
          <w:lang w:val="en-GB" w:eastAsia="en-US"/>
        </w:rPr>
        <w:t>r</w:t>
      </w:r>
      <w:r w:rsidRPr="00D84D56">
        <w:rPr>
          <w:b/>
          <w:szCs w:val="22"/>
          <w:lang w:val="en-GB" w:eastAsia="en-US"/>
        </w:rPr>
        <w:t>egistration</w:t>
      </w:r>
    </w:p>
    <w:p w14:paraId="56AD118D" w14:textId="653F3E12" w:rsidR="001306D4" w:rsidRPr="00D84D56" w:rsidRDefault="001306D4" w:rsidP="001306D4">
      <w:pPr>
        <w:rPr>
          <w:rFonts w:cs="Arial"/>
          <w:szCs w:val="22"/>
          <w:lang w:val="en-GB"/>
        </w:rPr>
      </w:pPr>
      <w:r w:rsidRPr="00D84D56">
        <w:rPr>
          <w:rFonts w:cs="Arial"/>
          <w:szCs w:val="22"/>
          <w:lang w:val="en-GB"/>
        </w:rPr>
        <w:t>Where an employee has professional registration</w:t>
      </w:r>
      <w:r w:rsidR="00295510">
        <w:rPr>
          <w:rFonts w:cs="Arial"/>
          <w:szCs w:val="22"/>
          <w:lang w:val="en-GB"/>
        </w:rPr>
        <w:t xml:space="preserve"> with an external organisation,</w:t>
      </w:r>
      <w:r w:rsidRPr="00D84D56">
        <w:rPr>
          <w:rFonts w:cs="Arial"/>
          <w:szCs w:val="22"/>
          <w:lang w:val="en-GB"/>
        </w:rPr>
        <w:t xml:space="preserve"> they should contact their professional body to establish if there are any specific requirements in terms of name change. Where LBWF has to keep evidence of professional status or qualifications, this should be discussed with the employee as to how to retain such evidence on file so as not to compromise or breach disclosure of protected information.</w:t>
      </w:r>
    </w:p>
    <w:p w14:paraId="48872657" w14:textId="77777777" w:rsidR="00323470" w:rsidRPr="00D84D56" w:rsidRDefault="00323470" w:rsidP="00653F53">
      <w:pPr>
        <w:rPr>
          <w:szCs w:val="22"/>
          <w:lang w:val="en-GB" w:eastAsia="en-US"/>
        </w:rPr>
      </w:pPr>
    </w:p>
    <w:p w14:paraId="03D6A276" w14:textId="683B0C13" w:rsidR="00E92D4A" w:rsidRDefault="00A6463A" w:rsidP="00C80EF2">
      <w:pPr>
        <w:pStyle w:val="Heading1"/>
        <w:rPr>
          <w:lang w:val="en-GB"/>
        </w:rPr>
      </w:pPr>
      <w:r>
        <w:rPr>
          <w:lang w:val="en-GB"/>
        </w:rPr>
        <w:t xml:space="preserve"> </w:t>
      </w:r>
      <w:r>
        <w:rPr>
          <w:lang w:val="en-GB"/>
        </w:rPr>
        <w:tab/>
      </w:r>
      <w:bookmarkStart w:id="12" w:name="_Toc19273742"/>
      <w:r w:rsidR="00E92D4A" w:rsidRPr="00D84D56">
        <w:rPr>
          <w:lang w:val="en-GB"/>
        </w:rPr>
        <w:t xml:space="preserve">During </w:t>
      </w:r>
      <w:r w:rsidR="008C6C5A" w:rsidRPr="00D84D56">
        <w:rPr>
          <w:lang w:val="en-GB"/>
        </w:rPr>
        <w:t>e</w:t>
      </w:r>
      <w:r w:rsidR="00E92D4A" w:rsidRPr="00D84D56">
        <w:rPr>
          <w:lang w:val="en-GB"/>
        </w:rPr>
        <w:t>mployment</w:t>
      </w:r>
      <w:bookmarkEnd w:id="12"/>
    </w:p>
    <w:p w14:paraId="42EC5146" w14:textId="039F4A21" w:rsidR="00805A22" w:rsidRDefault="006F3B3A" w:rsidP="006F3B3A">
      <w:pPr>
        <w:rPr>
          <w:lang w:val="en-GB" w:eastAsia="en-US"/>
        </w:rPr>
      </w:pPr>
      <w:r>
        <w:rPr>
          <w:lang w:val="en-GB" w:eastAsia="en-US"/>
        </w:rPr>
        <w:t>The following section outlines the arrangements that will be considered as necessary:</w:t>
      </w:r>
    </w:p>
    <w:p w14:paraId="58C95FC9" w14:textId="77777777" w:rsidR="00805A22" w:rsidRPr="006F3B3A" w:rsidRDefault="00805A22" w:rsidP="006F3B3A">
      <w:pPr>
        <w:rPr>
          <w:lang w:val="en-GB" w:eastAsia="en-US"/>
        </w:rPr>
      </w:pPr>
    </w:p>
    <w:p w14:paraId="5C234DF3" w14:textId="77777777" w:rsidR="00C80EF2" w:rsidRPr="00D84D56" w:rsidRDefault="00E92D4A" w:rsidP="001C15D9">
      <w:pPr>
        <w:numPr>
          <w:ilvl w:val="1"/>
          <w:numId w:val="1"/>
        </w:numPr>
        <w:ind w:left="-135"/>
        <w:rPr>
          <w:b/>
          <w:szCs w:val="22"/>
          <w:lang w:val="en-GB" w:eastAsia="en-US"/>
        </w:rPr>
      </w:pPr>
      <w:r w:rsidRPr="00D84D56">
        <w:rPr>
          <w:b/>
          <w:szCs w:val="22"/>
          <w:lang w:val="en-GB" w:eastAsia="en-US"/>
        </w:rPr>
        <w:tab/>
      </w:r>
      <w:r w:rsidR="00EE2AB4" w:rsidRPr="00D84D56">
        <w:rPr>
          <w:b/>
          <w:szCs w:val="22"/>
          <w:lang w:val="en-GB" w:eastAsia="en-US"/>
        </w:rPr>
        <w:t>Record keeping</w:t>
      </w:r>
    </w:p>
    <w:p w14:paraId="51724F40" w14:textId="211EF5D7" w:rsidR="009C7D10" w:rsidRPr="00D84D56" w:rsidRDefault="009C7D10" w:rsidP="00B15651">
      <w:pPr>
        <w:rPr>
          <w:rFonts w:cs="Arial"/>
          <w:lang w:val="en-GB"/>
        </w:rPr>
      </w:pPr>
      <w:r w:rsidRPr="00D84D56">
        <w:rPr>
          <w:szCs w:val="22"/>
          <w:lang w:val="en-GB" w:eastAsia="en-US"/>
        </w:rPr>
        <w:t xml:space="preserve">All records, whether paper or electronic, will be processed in accordance with the requirements of the General Data Protection Regulations and the Data Protection Act 2018. </w:t>
      </w:r>
      <w:r w:rsidRPr="00D84D56">
        <w:rPr>
          <w:rFonts w:cs="Arial"/>
          <w:lang w:val="en-GB"/>
        </w:rPr>
        <w:t>R</w:t>
      </w:r>
      <w:r w:rsidR="00B15651" w:rsidRPr="00D84D56">
        <w:rPr>
          <w:rFonts w:cs="Arial"/>
          <w:lang w:val="en-GB"/>
        </w:rPr>
        <w:t xml:space="preserve">ecords </w:t>
      </w:r>
      <w:r w:rsidRPr="00D84D56">
        <w:rPr>
          <w:rFonts w:cs="Arial"/>
          <w:lang w:val="en-GB"/>
        </w:rPr>
        <w:t>must</w:t>
      </w:r>
      <w:r w:rsidR="00B15651" w:rsidRPr="00D84D56">
        <w:rPr>
          <w:rFonts w:cs="Arial"/>
          <w:lang w:val="en-GB"/>
        </w:rPr>
        <w:t xml:space="preserve"> be</w:t>
      </w:r>
      <w:r w:rsidRPr="00D84D56">
        <w:rPr>
          <w:rFonts w:cs="Arial"/>
          <w:lang w:val="en-GB"/>
        </w:rPr>
        <w:t xml:space="preserve"> accurate and only be</w:t>
      </w:r>
      <w:r w:rsidR="00B15651" w:rsidRPr="00D84D56">
        <w:rPr>
          <w:rFonts w:cs="Arial"/>
          <w:lang w:val="en-GB"/>
        </w:rPr>
        <w:t xml:space="preserve"> changed with the permission of the staff member concerned</w:t>
      </w:r>
      <w:r w:rsidRPr="00D84D56">
        <w:rPr>
          <w:rFonts w:cs="Arial"/>
          <w:lang w:val="en-GB"/>
        </w:rPr>
        <w:t>.</w:t>
      </w:r>
    </w:p>
    <w:p w14:paraId="29571A46" w14:textId="77777777" w:rsidR="009C7D10" w:rsidRPr="00D84D56" w:rsidRDefault="009C7D10" w:rsidP="00B15651">
      <w:pPr>
        <w:rPr>
          <w:rFonts w:cs="Arial"/>
          <w:lang w:val="en-GB"/>
        </w:rPr>
      </w:pPr>
    </w:p>
    <w:p w14:paraId="0D97C8F9" w14:textId="77777777" w:rsidR="009C7D10" w:rsidRPr="00D84D56" w:rsidRDefault="009C7D10" w:rsidP="009C7D10">
      <w:pPr>
        <w:rPr>
          <w:rFonts w:cs="Arial"/>
          <w:lang w:val="en-GB"/>
        </w:rPr>
      </w:pPr>
      <w:r w:rsidRPr="00D84D56">
        <w:rPr>
          <w:rFonts w:cs="Arial"/>
          <w:lang w:val="en-GB"/>
        </w:rPr>
        <w:t>A person’s preferred name is a first name that is different from their official/ given/ legal name. This is the name they prefer others to use to refer to them, which must be respected—bar official contexts where the legal name is required.</w:t>
      </w:r>
    </w:p>
    <w:p w14:paraId="1305AE42" w14:textId="09C9B571" w:rsidR="009C7D10" w:rsidRPr="00D84D56" w:rsidRDefault="009C7D10" w:rsidP="00B15651">
      <w:pPr>
        <w:rPr>
          <w:rFonts w:cs="Arial"/>
          <w:lang w:val="en-GB"/>
        </w:rPr>
      </w:pPr>
    </w:p>
    <w:p w14:paraId="7E2DB804" w14:textId="5986BD74" w:rsidR="00FF7ECD" w:rsidRPr="00D84D56" w:rsidRDefault="00FF7ECD" w:rsidP="00FF7ECD">
      <w:pPr>
        <w:tabs>
          <w:tab w:val="num" w:pos="-567"/>
        </w:tabs>
        <w:autoSpaceDE w:val="0"/>
        <w:autoSpaceDN w:val="0"/>
        <w:adjustRightInd w:val="0"/>
        <w:rPr>
          <w:rFonts w:cs="Arial"/>
          <w:color w:val="000000"/>
          <w:szCs w:val="22"/>
          <w:lang w:val="en-GB"/>
        </w:rPr>
      </w:pPr>
      <w:r w:rsidRPr="00D84D56">
        <w:rPr>
          <w:rFonts w:cs="Arial"/>
          <w:color w:val="000000"/>
          <w:szCs w:val="22"/>
          <w:lang w:val="en-GB"/>
        </w:rPr>
        <w:t>It is good practice for the Council to change name, title and gender on request from an employee who simply provides a formal change of name document such as a deed poll or statutory declaration documentation.</w:t>
      </w:r>
    </w:p>
    <w:p w14:paraId="3AF96C09" w14:textId="77777777" w:rsidR="00FF7ECD" w:rsidRPr="00D84D56" w:rsidRDefault="00FF7ECD" w:rsidP="00FF7ECD">
      <w:pPr>
        <w:rPr>
          <w:szCs w:val="22"/>
          <w:lang w:val="en-GB" w:eastAsia="en-US"/>
        </w:rPr>
      </w:pPr>
    </w:p>
    <w:p w14:paraId="0DB27568" w14:textId="77777777" w:rsidR="00FF7ECD" w:rsidRPr="00D84D56" w:rsidRDefault="00FF7ECD" w:rsidP="00FF7ECD">
      <w:pPr>
        <w:tabs>
          <w:tab w:val="num" w:pos="-567"/>
        </w:tabs>
        <w:autoSpaceDE w:val="0"/>
        <w:autoSpaceDN w:val="0"/>
        <w:adjustRightInd w:val="0"/>
        <w:rPr>
          <w:rFonts w:cs="Arial"/>
          <w:color w:val="000000"/>
          <w:szCs w:val="22"/>
          <w:lang w:val="en-GB"/>
        </w:rPr>
      </w:pPr>
      <w:r w:rsidRPr="00D84D56">
        <w:rPr>
          <w:rFonts w:cs="Arial"/>
          <w:color w:val="000000"/>
          <w:szCs w:val="22"/>
          <w:lang w:val="en-GB"/>
        </w:rPr>
        <w:t>Individuals do not have to present any evidence of any medical treatment nor a Gender Recognition Certificate to request for this to be acknowledged.</w:t>
      </w:r>
    </w:p>
    <w:p w14:paraId="1A4257C4" w14:textId="77777777" w:rsidR="00FF7ECD" w:rsidRPr="00D84D56" w:rsidRDefault="00FF7ECD" w:rsidP="00B15651">
      <w:pPr>
        <w:rPr>
          <w:rFonts w:cs="Arial"/>
          <w:lang w:val="en-GB"/>
        </w:rPr>
      </w:pPr>
    </w:p>
    <w:p w14:paraId="5BFADD7C" w14:textId="58DAB60C" w:rsidR="00B15651" w:rsidRPr="00D84D56" w:rsidRDefault="009C7D10" w:rsidP="00B15651">
      <w:pPr>
        <w:rPr>
          <w:rFonts w:cs="Arial"/>
          <w:lang w:val="en-GB"/>
        </w:rPr>
      </w:pPr>
      <w:r w:rsidRPr="00D84D56">
        <w:rPr>
          <w:rFonts w:cs="Arial"/>
          <w:lang w:val="en-GB"/>
        </w:rPr>
        <w:t xml:space="preserve">Where a trans member is planning to transition, </w:t>
      </w:r>
      <w:r w:rsidR="00B15651" w:rsidRPr="00D84D56">
        <w:rPr>
          <w:rFonts w:cs="Arial"/>
          <w:lang w:val="en-GB"/>
        </w:rPr>
        <w:t>any changes they may wish to make to their records will be discussed as part of a transition plan.</w:t>
      </w:r>
      <w:r w:rsidR="001B7E82" w:rsidRPr="00D84D56">
        <w:rPr>
          <w:rFonts w:cs="Arial"/>
          <w:lang w:val="en-GB"/>
        </w:rPr>
        <w:t xml:space="preserve"> For more information, please </w:t>
      </w:r>
      <w:r w:rsidR="00CD06BF">
        <w:rPr>
          <w:rFonts w:cs="Arial"/>
          <w:lang w:val="en-GB"/>
        </w:rPr>
        <w:t xml:space="preserve">refer to </w:t>
      </w:r>
      <w:hyperlink w:anchor="_Appendix_3:_The" w:history="1">
        <w:r w:rsidR="001B7E82" w:rsidRPr="00D84D56">
          <w:rPr>
            <w:rStyle w:val="Hyperlink"/>
            <w:rFonts w:cs="Arial"/>
            <w:lang w:val="en-GB"/>
          </w:rPr>
          <w:t>Appendix 3</w:t>
        </w:r>
      </w:hyperlink>
      <w:r w:rsidR="00AF1BB5">
        <w:rPr>
          <w:rStyle w:val="Hyperlink"/>
          <w:rFonts w:cs="Arial"/>
          <w:lang w:val="en-GB"/>
        </w:rPr>
        <w:t>: The transition process</w:t>
      </w:r>
      <w:r w:rsidR="00AF1BB5">
        <w:rPr>
          <w:rFonts w:cs="Arial"/>
          <w:lang w:val="en-GB"/>
        </w:rPr>
        <w:t xml:space="preserve"> f</w:t>
      </w:r>
      <w:r w:rsidR="00CD06BF">
        <w:rPr>
          <w:rFonts w:cs="Arial"/>
          <w:lang w:val="en-GB"/>
        </w:rPr>
        <w:t>or further information.</w:t>
      </w:r>
    </w:p>
    <w:p w14:paraId="420FD123" w14:textId="77777777" w:rsidR="00B15651" w:rsidRPr="00D84D56" w:rsidRDefault="00B15651" w:rsidP="00653F53">
      <w:pPr>
        <w:rPr>
          <w:szCs w:val="22"/>
          <w:lang w:val="en-GB" w:eastAsia="en-US"/>
        </w:rPr>
      </w:pPr>
    </w:p>
    <w:p w14:paraId="73D7058D" w14:textId="77777777" w:rsidR="00E92D4A" w:rsidRPr="00D84D56" w:rsidRDefault="001C15D9" w:rsidP="001C15D9">
      <w:pPr>
        <w:numPr>
          <w:ilvl w:val="1"/>
          <w:numId w:val="1"/>
        </w:numPr>
        <w:ind w:left="-135"/>
        <w:rPr>
          <w:b/>
          <w:szCs w:val="22"/>
          <w:lang w:val="en-GB" w:eastAsia="en-US"/>
        </w:rPr>
      </w:pPr>
      <w:r w:rsidRPr="00D84D56">
        <w:rPr>
          <w:b/>
          <w:szCs w:val="22"/>
          <w:lang w:val="en-GB" w:eastAsia="en-US"/>
        </w:rPr>
        <w:tab/>
      </w:r>
      <w:r w:rsidR="00E92D4A" w:rsidRPr="00D84D56">
        <w:rPr>
          <w:b/>
          <w:szCs w:val="22"/>
          <w:lang w:val="en-GB" w:eastAsia="en-US"/>
        </w:rPr>
        <w:t>Dress Code</w:t>
      </w:r>
    </w:p>
    <w:p w14:paraId="1AFCEA43" w14:textId="77777777" w:rsidR="00126FED" w:rsidRPr="00D84D56" w:rsidRDefault="00E92D4A" w:rsidP="00653F53">
      <w:pPr>
        <w:rPr>
          <w:szCs w:val="22"/>
          <w:lang w:val="en-GB" w:eastAsia="en-US"/>
        </w:rPr>
      </w:pPr>
      <w:r w:rsidRPr="00D84D56">
        <w:rPr>
          <w:szCs w:val="22"/>
          <w:lang w:val="en-GB" w:eastAsia="en-US"/>
        </w:rPr>
        <w:t xml:space="preserve">The Council’s </w:t>
      </w:r>
      <w:hyperlink r:id="rId26" w:history="1">
        <w:r w:rsidR="00126FED" w:rsidRPr="00D84D56">
          <w:rPr>
            <w:rStyle w:val="Hyperlink"/>
            <w:szCs w:val="22"/>
            <w:lang w:val="en-GB" w:eastAsia="en-US"/>
          </w:rPr>
          <w:t>Code of Conduct</w:t>
        </w:r>
      </w:hyperlink>
      <w:r w:rsidR="00126FED" w:rsidRPr="00D84D56">
        <w:rPr>
          <w:szCs w:val="22"/>
          <w:lang w:val="en-GB" w:eastAsia="en-US"/>
        </w:rPr>
        <w:t xml:space="preserve"> requires employees to dress accordingly for the role they undertake. Managers </w:t>
      </w:r>
      <w:r w:rsidR="00792E01" w:rsidRPr="00D84D56">
        <w:rPr>
          <w:szCs w:val="22"/>
          <w:lang w:val="en-GB" w:eastAsia="en-US"/>
        </w:rPr>
        <w:t>are required to</w:t>
      </w:r>
      <w:r w:rsidR="00126FED" w:rsidRPr="00D84D56">
        <w:rPr>
          <w:szCs w:val="22"/>
          <w:lang w:val="en-GB" w:eastAsia="en-US"/>
        </w:rPr>
        <w:t xml:space="preserve"> apply this rule consistently</w:t>
      </w:r>
      <w:r w:rsidR="00792E01" w:rsidRPr="00D84D56">
        <w:rPr>
          <w:szCs w:val="22"/>
          <w:lang w:val="en-GB" w:eastAsia="en-US"/>
        </w:rPr>
        <w:t xml:space="preserve">. However, they should use their discretion and sensitivity when it comes to </w:t>
      </w:r>
      <w:r w:rsidR="00B763DE" w:rsidRPr="00D84D56">
        <w:rPr>
          <w:szCs w:val="22"/>
          <w:lang w:val="en-GB" w:eastAsia="en-US"/>
        </w:rPr>
        <w:t>respect</w:t>
      </w:r>
      <w:r w:rsidR="00792E01" w:rsidRPr="00D84D56">
        <w:rPr>
          <w:szCs w:val="22"/>
          <w:lang w:val="en-GB" w:eastAsia="en-US"/>
        </w:rPr>
        <w:t>ing</w:t>
      </w:r>
      <w:r w:rsidR="00B763DE" w:rsidRPr="00D84D56">
        <w:rPr>
          <w:szCs w:val="22"/>
          <w:lang w:val="en-GB" w:eastAsia="en-US"/>
        </w:rPr>
        <w:t xml:space="preserve"> </w:t>
      </w:r>
      <w:r w:rsidR="00792E01" w:rsidRPr="00D84D56">
        <w:rPr>
          <w:szCs w:val="22"/>
          <w:lang w:val="en-GB" w:eastAsia="en-US"/>
        </w:rPr>
        <w:t>an</w:t>
      </w:r>
      <w:r w:rsidR="00B763DE" w:rsidRPr="00D84D56">
        <w:rPr>
          <w:szCs w:val="22"/>
          <w:lang w:val="en-GB" w:eastAsia="en-US"/>
        </w:rPr>
        <w:t xml:space="preserve"> individual’s gender identity</w:t>
      </w:r>
      <w:r w:rsidRPr="00D84D56">
        <w:rPr>
          <w:szCs w:val="22"/>
          <w:lang w:val="en-GB" w:eastAsia="en-US"/>
        </w:rPr>
        <w:t>.</w:t>
      </w:r>
      <w:r w:rsidR="00B763DE" w:rsidRPr="00D84D56">
        <w:rPr>
          <w:szCs w:val="22"/>
          <w:lang w:val="en-GB" w:eastAsia="en-US"/>
        </w:rPr>
        <w:t xml:space="preserve"> </w:t>
      </w:r>
      <w:r w:rsidR="00792E01" w:rsidRPr="00D84D56">
        <w:rPr>
          <w:szCs w:val="22"/>
          <w:lang w:val="en-GB" w:eastAsia="en-US"/>
        </w:rPr>
        <w:t>For instance, s</w:t>
      </w:r>
      <w:r w:rsidR="00B763DE" w:rsidRPr="00D84D56">
        <w:rPr>
          <w:szCs w:val="22"/>
          <w:lang w:val="en-GB" w:eastAsia="en-US"/>
        </w:rPr>
        <w:t>ome flexibility in dress code may be required to accommodate the needs of a transitioning member of staff.</w:t>
      </w:r>
    </w:p>
    <w:p w14:paraId="73B3BF83" w14:textId="77777777" w:rsidR="00792E01" w:rsidRPr="00D84D56" w:rsidRDefault="00792E01" w:rsidP="00792E01">
      <w:pPr>
        <w:rPr>
          <w:szCs w:val="22"/>
          <w:lang w:val="en-GB" w:eastAsia="en-US"/>
        </w:rPr>
      </w:pPr>
    </w:p>
    <w:p w14:paraId="51C7071D" w14:textId="77777777" w:rsidR="00792E01" w:rsidRPr="00D84D56" w:rsidRDefault="00D87AB8" w:rsidP="00792E01">
      <w:pPr>
        <w:rPr>
          <w:szCs w:val="22"/>
          <w:lang w:val="en-GB" w:eastAsia="en-US"/>
        </w:rPr>
      </w:pPr>
      <w:r w:rsidRPr="00D84D56">
        <w:rPr>
          <w:szCs w:val="22"/>
          <w:lang w:val="en-GB" w:eastAsia="en-US"/>
        </w:rPr>
        <w:t xml:space="preserve">Uniforms will normally respect health and safety standards and be comfortable for all staff regardless of their gender or sex characteristics. </w:t>
      </w:r>
      <w:r w:rsidR="00792E01" w:rsidRPr="00D84D56">
        <w:rPr>
          <w:szCs w:val="22"/>
          <w:lang w:val="en-GB" w:eastAsia="en-US"/>
        </w:rPr>
        <w:t xml:space="preserve">Where staff are required to wear a uniform, </w:t>
      </w:r>
      <w:r w:rsidRPr="00D84D56">
        <w:rPr>
          <w:szCs w:val="22"/>
          <w:lang w:val="en-GB" w:eastAsia="en-US"/>
        </w:rPr>
        <w:t>they</w:t>
      </w:r>
      <w:r w:rsidR="00792E01" w:rsidRPr="00D84D56">
        <w:rPr>
          <w:szCs w:val="22"/>
          <w:lang w:val="en-GB" w:eastAsia="en-US"/>
        </w:rPr>
        <w:t xml:space="preserve"> </w:t>
      </w:r>
      <w:r w:rsidRPr="00D84D56">
        <w:rPr>
          <w:szCs w:val="22"/>
          <w:lang w:val="en-GB" w:eastAsia="en-US"/>
        </w:rPr>
        <w:t>will be</w:t>
      </w:r>
      <w:r w:rsidR="00792E01" w:rsidRPr="00D84D56">
        <w:rPr>
          <w:szCs w:val="22"/>
          <w:lang w:val="en-GB" w:eastAsia="en-US"/>
        </w:rPr>
        <w:t xml:space="preserve"> permitted to wear the uniform that better reflects their gender identity and expression, while respecting any health and safety standards.</w:t>
      </w:r>
    </w:p>
    <w:p w14:paraId="5B68CD8F" w14:textId="77777777" w:rsidR="00126FED" w:rsidRPr="00D84D56" w:rsidRDefault="00126FED" w:rsidP="00653F53">
      <w:pPr>
        <w:rPr>
          <w:szCs w:val="22"/>
          <w:lang w:val="en-GB" w:eastAsia="en-US"/>
        </w:rPr>
      </w:pPr>
    </w:p>
    <w:p w14:paraId="51AF9A46" w14:textId="77777777" w:rsidR="00E92D4A" w:rsidRPr="00D84D56" w:rsidRDefault="001C15D9" w:rsidP="001C15D9">
      <w:pPr>
        <w:numPr>
          <w:ilvl w:val="1"/>
          <w:numId w:val="1"/>
        </w:numPr>
        <w:ind w:left="-135"/>
        <w:rPr>
          <w:b/>
          <w:szCs w:val="22"/>
          <w:lang w:val="en-GB" w:eastAsia="en-US"/>
        </w:rPr>
      </w:pPr>
      <w:r w:rsidRPr="00D84D56">
        <w:rPr>
          <w:b/>
          <w:szCs w:val="22"/>
          <w:lang w:val="en-GB" w:eastAsia="en-US"/>
        </w:rPr>
        <w:tab/>
      </w:r>
      <w:r w:rsidR="00E92D4A" w:rsidRPr="00D84D56">
        <w:rPr>
          <w:b/>
          <w:szCs w:val="22"/>
          <w:lang w:val="en-GB" w:eastAsia="en-US"/>
        </w:rPr>
        <w:t>Use of single sex facilities</w:t>
      </w:r>
    </w:p>
    <w:p w14:paraId="58BE41C6" w14:textId="4CC38411" w:rsidR="006F0736" w:rsidRPr="00D84D56" w:rsidRDefault="00D96190" w:rsidP="00653F53">
      <w:pPr>
        <w:rPr>
          <w:szCs w:val="22"/>
          <w:lang w:val="en-GB" w:eastAsia="en-US"/>
        </w:rPr>
      </w:pPr>
      <w:r w:rsidRPr="00D84D56">
        <w:rPr>
          <w:szCs w:val="22"/>
          <w:lang w:val="en-GB" w:eastAsia="en-US"/>
        </w:rPr>
        <w:t>S</w:t>
      </w:r>
      <w:r w:rsidR="00C76229" w:rsidRPr="00D84D56">
        <w:rPr>
          <w:szCs w:val="22"/>
          <w:lang w:val="en-GB" w:eastAsia="en-US"/>
        </w:rPr>
        <w:t xml:space="preserve">taff are permitted to use </w:t>
      </w:r>
      <w:r w:rsidR="00CF57AA" w:rsidRPr="00D84D56">
        <w:rPr>
          <w:szCs w:val="22"/>
          <w:lang w:val="en-GB" w:eastAsia="en-US"/>
        </w:rPr>
        <w:t>any</w:t>
      </w:r>
      <w:r w:rsidR="00C76229" w:rsidRPr="00D84D56">
        <w:rPr>
          <w:szCs w:val="22"/>
          <w:lang w:val="en-GB" w:eastAsia="en-US"/>
        </w:rPr>
        <w:t xml:space="preserve"> </w:t>
      </w:r>
      <w:r w:rsidR="006F0736" w:rsidRPr="00D84D56">
        <w:rPr>
          <w:szCs w:val="22"/>
          <w:lang w:val="en-GB" w:eastAsia="en-US"/>
        </w:rPr>
        <w:t xml:space="preserve">gender defined areas (i.e. ‘men only’ or ‘women only’ toilets) </w:t>
      </w:r>
      <w:r w:rsidR="00EB22B9" w:rsidRPr="00D84D56">
        <w:rPr>
          <w:szCs w:val="22"/>
          <w:lang w:val="en-GB" w:eastAsia="en-US"/>
        </w:rPr>
        <w:t xml:space="preserve">that best correspond to their own gender identity </w:t>
      </w:r>
      <w:r w:rsidR="00CF57AA" w:rsidRPr="00D84D56">
        <w:rPr>
          <w:szCs w:val="22"/>
          <w:lang w:val="en-GB" w:eastAsia="en-US"/>
        </w:rPr>
        <w:t>and expression</w:t>
      </w:r>
      <w:r w:rsidR="00CD06BF">
        <w:rPr>
          <w:szCs w:val="22"/>
          <w:lang w:val="en-GB" w:eastAsia="en-US"/>
        </w:rPr>
        <w:t>,</w:t>
      </w:r>
      <w:r w:rsidR="00CF57AA" w:rsidRPr="00D84D56">
        <w:rPr>
          <w:szCs w:val="22"/>
          <w:lang w:val="en-GB" w:eastAsia="en-US"/>
        </w:rPr>
        <w:t xml:space="preserve"> </w:t>
      </w:r>
      <w:r w:rsidRPr="00D84D56">
        <w:rPr>
          <w:szCs w:val="22"/>
          <w:lang w:val="en-GB" w:eastAsia="en-US"/>
        </w:rPr>
        <w:t>or</w:t>
      </w:r>
      <w:r w:rsidR="00EB22B9" w:rsidRPr="00D84D56">
        <w:rPr>
          <w:szCs w:val="22"/>
          <w:lang w:val="en-GB" w:eastAsia="en-US"/>
        </w:rPr>
        <w:t xml:space="preserve"> where </w:t>
      </w:r>
      <w:r w:rsidR="00C76229" w:rsidRPr="00D84D56">
        <w:rPr>
          <w:szCs w:val="22"/>
          <w:lang w:val="en-GB" w:eastAsia="en-US"/>
        </w:rPr>
        <w:t xml:space="preserve">they feel </w:t>
      </w:r>
      <w:r w:rsidR="00CF57AA" w:rsidRPr="00D84D56">
        <w:rPr>
          <w:szCs w:val="22"/>
          <w:lang w:val="en-GB" w:eastAsia="en-US"/>
        </w:rPr>
        <w:t xml:space="preserve">more </w:t>
      </w:r>
      <w:r w:rsidR="00C76229" w:rsidRPr="00D84D56">
        <w:rPr>
          <w:szCs w:val="22"/>
          <w:lang w:val="en-GB" w:eastAsia="en-US"/>
        </w:rPr>
        <w:t>comfortable and safe</w:t>
      </w:r>
      <w:r w:rsidR="006F3B3A">
        <w:rPr>
          <w:szCs w:val="22"/>
          <w:lang w:val="en-GB" w:eastAsia="en-US"/>
        </w:rPr>
        <w:t xml:space="preserve"> to do so</w:t>
      </w:r>
      <w:r w:rsidR="00A80178" w:rsidRPr="00D84D56">
        <w:rPr>
          <w:rFonts w:cs="Arial"/>
          <w:lang w:val="en-GB"/>
        </w:rPr>
        <w:t>.</w:t>
      </w:r>
    </w:p>
    <w:p w14:paraId="15EE3AAC" w14:textId="77777777" w:rsidR="00DD461A" w:rsidRPr="00D84D56" w:rsidRDefault="00DD461A" w:rsidP="00653F53">
      <w:pPr>
        <w:rPr>
          <w:szCs w:val="22"/>
          <w:lang w:val="en-GB" w:eastAsia="en-US"/>
        </w:rPr>
      </w:pPr>
    </w:p>
    <w:p w14:paraId="6F4DA7FB" w14:textId="05610BAE" w:rsidR="00D325B2" w:rsidRPr="00D84D56" w:rsidRDefault="00D325B2" w:rsidP="00653F53">
      <w:pPr>
        <w:rPr>
          <w:szCs w:val="22"/>
          <w:lang w:val="en-GB" w:eastAsia="en-US"/>
        </w:rPr>
      </w:pPr>
      <w:r w:rsidRPr="00D84D56">
        <w:rPr>
          <w:szCs w:val="22"/>
          <w:lang w:val="en-GB" w:eastAsia="en-US"/>
        </w:rPr>
        <w:t>A</w:t>
      </w:r>
      <w:r w:rsidR="008E5B83">
        <w:rPr>
          <w:szCs w:val="22"/>
          <w:lang w:val="en-GB" w:eastAsia="en-US"/>
        </w:rPr>
        <w:t>n</w:t>
      </w:r>
      <w:r w:rsidR="007A13B6" w:rsidRPr="00D84D56">
        <w:rPr>
          <w:szCs w:val="22"/>
          <w:lang w:val="en-GB" w:eastAsia="en-US"/>
        </w:rPr>
        <w:t xml:space="preserve"> </w:t>
      </w:r>
      <w:r w:rsidR="008E5B83">
        <w:rPr>
          <w:szCs w:val="22"/>
          <w:lang w:val="en-GB" w:eastAsia="en-US"/>
        </w:rPr>
        <w:t>employee</w:t>
      </w:r>
      <w:r w:rsidR="007A13B6" w:rsidRPr="00D84D56">
        <w:rPr>
          <w:szCs w:val="22"/>
          <w:lang w:val="en-GB" w:eastAsia="en-US"/>
        </w:rPr>
        <w:t xml:space="preserve"> undergoing transition</w:t>
      </w:r>
      <w:r w:rsidRPr="00D84D56">
        <w:rPr>
          <w:szCs w:val="22"/>
          <w:lang w:val="en-GB" w:eastAsia="en-US"/>
        </w:rPr>
        <w:t xml:space="preserve"> should be granted access to</w:t>
      </w:r>
      <w:r w:rsidR="007A13B6" w:rsidRPr="00D84D56">
        <w:rPr>
          <w:szCs w:val="22"/>
          <w:lang w:val="en-GB" w:eastAsia="en-US"/>
        </w:rPr>
        <w:t xml:space="preserve"> gender defined areas</w:t>
      </w:r>
      <w:r w:rsidRPr="00D84D56">
        <w:rPr>
          <w:szCs w:val="22"/>
          <w:lang w:val="en-GB" w:eastAsia="en-US"/>
        </w:rPr>
        <w:t xml:space="preserve"> according to the sex in which they permanently present.</w:t>
      </w:r>
      <w:r w:rsidR="007A13B6" w:rsidRPr="00D84D56">
        <w:rPr>
          <w:szCs w:val="22"/>
          <w:lang w:val="en-GB" w:eastAsia="en-US"/>
        </w:rPr>
        <w:t xml:space="preserve"> Under no circumstances should they be expected to use the facilities of their former gender</w:t>
      </w:r>
      <w:r w:rsidR="00A76091" w:rsidRPr="00D84D56">
        <w:rPr>
          <w:szCs w:val="22"/>
          <w:lang w:val="en-GB" w:eastAsia="en-US"/>
        </w:rPr>
        <w:t>, unless they wish to do so—temporarily or permanently</w:t>
      </w:r>
      <w:r w:rsidR="007A13B6" w:rsidRPr="00D84D56">
        <w:rPr>
          <w:szCs w:val="22"/>
          <w:lang w:val="en-GB" w:eastAsia="en-US"/>
        </w:rPr>
        <w:t>.</w:t>
      </w:r>
    </w:p>
    <w:p w14:paraId="11323DAD" w14:textId="77777777" w:rsidR="00D325B2" w:rsidRPr="00D84D56" w:rsidRDefault="00D325B2" w:rsidP="00653F53">
      <w:pPr>
        <w:rPr>
          <w:szCs w:val="22"/>
          <w:lang w:val="en-GB" w:eastAsia="en-US"/>
        </w:rPr>
      </w:pPr>
    </w:p>
    <w:p w14:paraId="4F74C221" w14:textId="77777777" w:rsidR="00D325B2" w:rsidRPr="00D84D56" w:rsidRDefault="00D325B2" w:rsidP="00653F53">
      <w:pPr>
        <w:rPr>
          <w:szCs w:val="22"/>
          <w:lang w:val="en-GB" w:eastAsia="en-US"/>
        </w:rPr>
      </w:pPr>
      <w:r w:rsidRPr="00D84D56">
        <w:rPr>
          <w:szCs w:val="22"/>
          <w:lang w:val="en-GB" w:eastAsia="en-US"/>
        </w:rPr>
        <w:t xml:space="preserve">The employee and the manager will agree the point at which the employee will start to use the single sex facilities of their acquired gender such as toilets, gym facilities and changing rooms. </w:t>
      </w:r>
      <w:r w:rsidR="007A13B6" w:rsidRPr="00D84D56">
        <w:rPr>
          <w:szCs w:val="22"/>
          <w:lang w:val="en-GB" w:eastAsia="en-US"/>
        </w:rPr>
        <w:t>Where appropriate, c</w:t>
      </w:r>
      <w:r w:rsidRPr="00D84D56">
        <w:rPr>
          <w:szCs w:val="22"/>
          <w:lang w:val="en-GB" w:eastAsia="en-US"/>
        </w:rPr>
        <w:t xml:space="preserve">olleagues should be informed that the employee will be using the facilities as appropriate to their </w:t>
      </w:r>
      <w:r w:rsidR="007A13B6" w:rsidRPr="00D84D56">
        <w:rPr>
          <w:szCs w:val="22"/>
          <w:lang w:val="en-GB" w:eastAsia="en-US"/>
        </w:rPr>
        <w:t>acquired</w:t>
      </w:r>
      <w:r w:rsidRPr="00D84D56">
        <w:rPr>
          <w:szCs w:val="22"/>
          <w:lang w:val="en-GB" w:eastAsia="en-US"/>
        </w:rPr>
        <w:t xml:space="preserve"> gender. Employees need to be aware that objecting to sharing toilet facilities with anyone else on account of their protected characteristic </w:t>
      </w:r>
      <w:r w:rsidR="00DD461A" w:rsidRPr="00D84D56">
        <w:rPr>
          <w:szCs w:val="22"/>
          <w:lang w:val="en-GB" w:eastAsia="en-US"/>
        </w:rPr>
        <w:t>(</w:t>
      </w:r>
      <w:r w:rsidRPr="00D84D56">
        <w:rPr>
          <w:szCs w:val="22"/>
          <w:lang w:val="en-GB" w:eastAsia="en-US"/>
        </w:rPr>
        <w:t>in this case</w:t>
      </w:r>
      <w:r w:rsidR="00DD461A" w:rsidRPr="00D84D56">
        <w:rPr>
          <w:szCs w:val="22"/>
          <w:lang w:val="en-GB" w:eastAsia="en-US"/>
        </w:rPr>
        <w:t>,</w:t>
      </w:r>
      <w:r w:rsidRPr="00D84D56">
        <w:rPr>
          <w:szCs w:val="22"/>
          <w:lang w:val="en-GB" w:eastAsia="en-US"/>
        </w:rPr>
        <w:t xml:space="preserve"> gender reassignment</w:t>
      </w:r>
      <w:r w:rsidR="00DD461A" w:rsidRPr="00D84D56">
        <w:rPr>
          <w:szCs w:val="22"/>
          <w:lang w:val="en-GB" w:eastAsia="en-US"/>
        </w:rPr>
        <w:t>)</w:t>
      </w:r>
      <w:r w:rsidRPr="00D84D56">
        <w:rPr>
          <w:szCs w:val="22"/>
          <w:lang w:val="en-GB" w:eastAsia="en-US"/>
        </w:rPr>
        <w:t xml:space="preserve"> will be deemed discriminatory.</w:t>
      </w:r>
    </w:p>
    <w:p w14:paraId="4D48533D" w14:textId="77777777" w:rsidR="00D325B2" w:rsidRPr="00D84D56" w:rsidRDefault="00D325B2" w:rsidP="00653F53">
      <w:pPr>
        <w:rPr>
          <w:szCs w:val="22"/>
          <w:lang w:val="en-GB" w:eastAsia="en-US"/>
        </w:rPr>
      </w:pPr>
    </w:p>
    <w:p w14:paraId="6AAE3089" w14:textId="77777777" w:rsidR="007A13B6" w:rsidRPr="00D84D56" w:rsidRDefault="007A13B6" w:rsidP="00653F53">
      <w:pPr>
        <w:rPr>
          <w:szCs w:val="22"/>
          <w:lang w:val="en-GB" w:eastAsia="en-US"/>
        </w:rPr>
      </w:pPr>
      <w:r w:rsidRPr="00D84D56">
        <w:rPr>
          <w:szCs w:val="22"/>
          <w:lang w:val="en-GB" w:eastAsia="en-US"/>
        </w:rPr>
        <w:t>It is not appropriate to ask an individual to use separate facilities, such as disabled toilets in the long term. Only where this is consented by the transitioning staff member, this may be a practical and acceptable short-term option, whilst they are going through the earlier stages of transition or continue to present/ express themselves alternately as both genders, which may be a long-term choice for some trans people.</w:t>
      </w:r>
    </w:p>
    <w:p w14:paraId="3788EEC2" w14:textId="77777777" w:rsidR="00F614D9" w:rsidRPr="00D84D56" w:rsidRDefault="00F614D9" w:rsidP="00653F53">
      <w:pPr>
        <w:rPr>
          <w:szCs w:val="22"/>
          <w:lang w:val="en-GB" w:eastAsia="en-US"/>
        </w:rPr>
      </w:pPr>
    </w:p>
    <w:p w14:paraId="1B3C4D0A" w14:textId="44DCDC9C" w:rsidR="00F614D9" w:rsidRDefault="00F614D9" w:rsidP="00653F53">
      <w:pPr>
        <w:rPr>
          <w:szCs w:val="22"/>
          <w:lang w:val="en-GB" w:eastAsia="en-US"/>
        </w:rPr>
      </w:pPr>
      <w:r w:rsidRPr="00D84D56">
        <w:rPr>
          <w:szCs w:val="22"/>
          <w:lang w:val="en-GB" w:eastAsia="en-US"/>
        </w:rPr>
        <w:t xml:space="preserve">This </w:t>
      </w:r>
      <w:r w:rsidR="00C76229" w:rsidRPr="00D84D56">
        <w:rPr>
          <w:szCs w:val="22"/>
          <w:lang w:val="en-GB" w:eastAsia="en-US"/>
        </w:rPr>
        <w:t>provision</w:t>
      </w:r>
      <w:r w:rsidRPr="00D84D56">
        <w:rPr>
          <w:szCs w:val="22"/>
          <w:lang w:val="en-GB" w:eastAsia="en-US"/>
        </w:rPr>
        <w:t xml:space="preserve"> intends to liberate trans</w:t>
      </w:r>
      <w:r w:rsidR="00D96190" w:rsidRPr="00D84D56">
        <w:rPr>
          <w:szCs w:val="22"/>
          <w:lang w:val="en-GB" w:eastAsia="en-US"/>
        </w:rPr>
        <w:t xml:space="preserve">, </w:t>
      </w:r>
      <w:r w:rsidRPr="00D84D56">
        <w:rPr>
          <w:szCs w:val="22"/>
          <w:lang w:val="en-GB" w:eastAsia="en-US"/>
        </w:rPr>
        <w:t xml:space="preserve">gender </w:t>
      </w:r>
      <w:r w:rsidR="00D96190" w:rsidRPr="00D84D56">
        <w:rPr>
          <w:szCs w:val="22"/>
          <w:lang w:val="en-GB" w:eastAsia="en-US"/>
        </w:rPr>
        <w:t>non-conforming, and intersex</w:t>
      </w:r>
      <w:r w:rsidRPr="00D84D56">
        <w:rPr>
          <w:szCs w:val="22"/>
          <w:lang w:val="en-GB" w:eastAsia="en-US"/>
        </w:rPr>
        <w:t xml:space="preserve"> individuals by enabling them to live their lives as their true selves. </w:t>
      </w:r>
      <w:r w:rsidR="00C76229" w:rsidRPr="00D84D56">
        <w:rPr>
          <w:szCs w:val="22"/>
          <w:lang w:val="en-GB" w:eastAsia="en-US"/>
        </w:rPr>
        <w:t>The Council believes that this is a modern and balanced approach. However, any m</w:t>
      </w:r>
      <w:r w:rsidRPr="00D84D56">
        <w:rPr>
          <w:szCs w:val="22"/>
          <w:lang w:val="en-GB" w:eastAsia="en-US"/>
        </w:rPr>
        <w:t xml:space="preserve">isuse or exploitation of the policy may be dealt with in line with the </w:t>
      </w:r>
      <w:hyperlink r:id="rId27" w:history="1">
        <w:r w:rsidRPr="00D84D56">
          <w:rPr>
            <w:rStyle w:val="Hyperlink"/>
            <w:szCs w:val="22"/>
            <w:lang w:val="en-GB" w:eastAsia="en-US"/>
          </w:rPr>
          <w:t>Conduct and Discipline</w:t>
        </w:r>
      </w:hyperlink>
      <w:r w:rsidRPr="00D84D56">
        <w:rPr>
          <w:szCs w:val="22"/>
          <w:lang w:val="en-GB" w:eastAsia="en-US"/>
        </w:rPr>
        <w:t xml:space="preserve"> procedure.</w:t>
      </w:r>
    </w:p>
    <w:p w14:paraId="68082FA6" w14:textId="1D18F17D" w:rsidR="008E5B83" w:rsidRDefault="008E5B83" w:rsidP="00653F53">
      <w:pPr>
        <w:rPr>
          <w:szCs w:val="22"/>
          <w:lang w:val="en-GB" w:eastAsia="en-US"/>
        </w:rPr>
      </w:pPr>
    </w:p>
    <w:p w14:paraId="60F4F763" w14:textId="3C98D836" w:rsidR="008E5B83" w:rsidRPr="00D84D56" w:rsidRDefault="008E5B83" w:rsidP="00653F53">
      <w:pPr>
        <w:rPr>
          <w:szCs w:val="22"/>
          <w:lang w:val="en-GB" w:eastAsia="en-US"/>
        </w:rPr>
      </w:pPr>
      <w:r>
        <w:rPr>
          <w:szCs w:val="22"/>
          <w:lang w:val="en-GB" w:eastAsia="en-US"/>
        </w:rPr>
        <w:t xml:space="preserve">If necessary, employees and managers can contact Human Resources on this.  </w:t>
      </w:r>
    </w:p>
    <w:p w14:paraId="208F07CD" w14:textId="77777777" w:rsidR="006F3B3A" w:rsidRPr="00D84D56" w:rsidRDefault="006F3B3A" w:rsidP="00653F53">
      <w:pPr>
        <w:rPr>
          <w:szCs w:val="22"/>
          <w:lang w:val="en-GB" w:eastAsia="en-US"/>
        </w:rPr>
      </w:pPr>
    </w:p>
    <w:p w14:paraId="66251285" w14:textId="5FA29AFD" w:rsidR="00584A8F" w:rsidRPr="00D84D56" w:rsidRDefault="00584A8F" w:rsidP="00584A8F">
      <w:pPr>
        <w:numPr>
          <w:ilvl w:val="1"/>
          <w:numId w:val="1"/>
        </w:numPr>
        <w:ind w:left="-135"/>
        <w:rPr>
          <w:b/>
          <w:szCs w:val="22"/>
          <w:lang w:val="en-GB" w:eastAsia="en-US"/>
        </w:rPr>
      </w:pPr>
      <w:r w:rsidRPr="00D84D56">
        <w:rPr>
          <w:b/>
          <w:szCs w:val="22"/>
          <w:lang w:val="en-GB" w:eastAsia="en-US"/>
        </w:rPr>
        <w:t xml:space="preserve"> </w:t>
      </w:r>
      <w:r w:rsidRPr="00D84D56">
        <w:rPr>
          <w:b/>
          <w:szCs w:val="22"/>
          <w:lang w:val="en-GB" w:eastAsia="en-US"/>
        </w:rPr>
        <w:tab/>
      </w:r>
      <w:r w:rsidR="006F3B3A">
        <w:rPr>
          <w:b/>
          <w:szCs w:val="22"/>
          <w:lang w:val="en-GB" w:eastAsia="en-US"/>
        </w:rPr>
        <w:t>Medical t</w:t>
      </w:r>
      <w:r w:rsidRPr="00D84D56">
        <w:rPr>
          <w:b/>
          <w:szCs w:val="22"/>
          <w:lang w:val="en-GB" w:eastAsia="en-US"/>
        </w:rPr>
        <w:t xml:space="preserve">ime off </w:t>
      </w:r>
    </w:p>
    <w:p w14:paraId="374475AC" w14:textId="35A926FD" w:rsidR="00584A8F" w:rsidRPr="00C24046" w:rsidRDefault="00584A8F" w:rsidP="00584A8F">
      <w:pPr>
        <w:tabs>
          <w:tab w:val="num" w:pos="-567"/>
        </w:tabs>
        <w:autoSpaceDE w:val="0"/>
        <w:autoSpaceDN w:val="0"/>
        <w:adjustRightInd w:val="0"/>
        <w:rPr>
          <w:rFonts w:cs="Arial"/>
          <w:lang w:val="en-GB"/>
        </w:rPr>
      </w:pPr>
      <w:r w:rsidRPr="00C24046">
        <w:rPr>
          <w:rFonts w:cs="Arial"/>
          <w:lang w:val="en-GB"/>
        </w:rPr>
        <w:t>The Equality Act gives protection against less favourable treatment of employees in relation to an absence that is because of their gender reassignment.</w:t>
      </w:r>
    </w:p>
    <w:p w14:paraId="58631CE7" w14:textId="77777777" w:rsidR="00584A8F" w:rsidRPr="00C24046" w:rsidRDefault="00584A8F" w:rsidP="00584A8F">
      <w:pPr>
        <w:tabs>
          <w:tab w:val="num" w:pos="-567"/>
        </w:tabs>
        <w:autoSpaceDE w:val="0"/>
        <w:autoSpaceDN w:val="0"/>
        <w:adjustRightInd w:val="0"/>
        <w:rPr>
          <w:rFonts w:cs="Arial"/>
          <w:lang w:val="en-GB"/>
        </w:rPr>
      </w:pPr>
    </w:p>
    <w:p w14:paraId="6D58A674" w14:textId="6B7F4B9A" w:rsidR="00584A8F" w:rsidRPr="00D84D56" w:rsidRDefault="00584A8F" w:rsidP="00584A8F">
      <w:pPr>
        <w:tabs>
          <w:tab w:val="num" w:pos="-567"/>
        </w:tabs>
        <w:autoSpaceDE w:val="0"/>
        <w:autoSpaceDN w:val="0"/>
        <w:adjustRightInd w:val="0"/>
        <w:rPr>
          <w:rFonts w:cs="Arial"/>
          <w:color w:val="000000"/>
          <w:szCs w:val="22"/>
          <w:lang w:val="en-GB"/>
        </w:rPr>
      </w:pPr>
      <w:r w:rsidRPr="00C24046">
        <w:rPr>
          <w:rFonts w:cs="Arial"/>
          <w:color w:val="000000"/>
          <w:szCs w:val="22"/>
          <w:lang w:val="en-GB"/>
        </w:rPr>
        <w:t>The employee may require time off for medical and other treatment. In line with the Council’s policy ‘Time off for medical appointments and other interventions’, employees</w:t>
      </w:r>
      <w:r w:rsidR="001927CF">
        <w:rPr>
          <w:rFonts w:cs="Arial"/>
          <w:color w:val="000000"/>
          <w:szCs w:val="22"/>
          <w:lang w:val="en-GB"/>
        </w:rPr>
        <w:t xml:space="preserve"> on sickness absence due to</w:t>
      </w:r>
      <w:r w:rsidRPr="00C24046">
        <w:rPr>
          <w:rFonts w:cs="Arial"/>
          <w:color w:val="000000"/>
          <w:szCs w:val="22"/>
          <w:lang w:val="en-GB"/>
        </w:rPr>
        <w:t xml:space="preserve"> the</w:t>
      </w:r>
      <w:r w:rsidR="001927CF">
        <w:rPr>
          <w:rFonts w:cs="Arial"/>
          <w:color w:val="000000"/>
          <w:szCs w:val="22"/>
          <w:lang w:val="en-GB"/>
        </w:rPr>
        <w:t>ir</w:t>
      </w:r>
      <w:r w:rsidRPr="00C24046">
        <w:rPr>
          <w:rFonts w:cs="Arial"/>
          <w:color w:val="000000"/>
          <w:szCs w:val="22"/>
          <w:lang w:val="en-GB"/>
        </w:rPr>
        <w:t xml:space="preserve"> transitioning or undergoing gender reassignment or surgery will be</w:t>
      </w:r>
      <w:r w:rsidR="001927CF">
        <w:rPr>
          <w:rFonts w:cs="Arial"/>
          <w:color w:val="000000"/>
          <w:szCs w:val="22"/>
          <w:lang w:val="en-GB"/>
        </w:rPr>
        <w:t xml:space="preserve"> treated in the same way as any other employee on sickness absence.</w:t>
      </w:r>
      <w:r w:rsidRPr="00D84D56">
        <w:rPr>
          <w:rFonts w:cs="Arial"/>
          <w:color w:val="000000"/>
          <w:szCs w:val="22"/>
          <w:lang w:val="en-GB"/>
        </w:rPr>
        <w:t xml:space="preserve"> Time off for surgical procedures is treated in the same way as other scheduled medically necessary procedures.</w:t>
      </w:r>
    </w:p>
    <w:p w14:paraId="7CF6967D" w14:textId="77777777" w:rsidR="00584A8F" w:rsidRPr="00D84D56" w:rsidRDefault="00584A8F" w:rsidP="00584A8F">
      <w:pPr>
        <w:tabs>
          <w:tab w:val="num" w:pos="-567"/>
        </w:tabs>
        <w:autoSpaceDE w:val="0"/>
        <w:autoSpaceDN w:val="0"/>
        <w:adjustRightInd w:val="0"/>
        <w:rPr>
          <w:rFonts w:cs="Arial"/>
          <w:color w:val="000000"/>
          <w:szCs w:val="22"/>
          <w:lang w:val="en-GB"/>
        </w:rPr>
      </w:pPr>
      <w:r w:rsidRPr="00D84D56">
        <w:rPr>
          <w:rFonts w:cs="Arial"/>
          <w:color w:val="000000"/>
          <w:szCs w:val="22"/>
          <w:lang w:val="en-GB"/>
        </w:rPr>
        <w:tab/>
      </w:r>
    </w:p>
    <w:p w14:paraId="69CBAAB1" w14:textId="63AC3E73" w:rsidR="00F12038" w:rsidRDefault="00F12038" w:rsidP="00584A8F">
      <w:pPr>
        <w:tabs>
          <w:tab w:val="num" w:pos="-567"/>
        </w:tabs>
        <w:autoSpaceDE w:val="0"/>
        <w:autoSpaceDN w:val="0"/>
        <w:adjustRightInd w:val="0"/>
        <w:rPr>
          <w:rFonts w:cs="Arial"/>
          <w:color w:val="000000"/>
          <w:szCs w:val="22"/>
          <w:lang w:val="en-GB"/>
        </w:rPr>
      </w:pPr>
      <w:r w:rsidRPr="00D84D56">
        <w:rPr>
          <w:rFonts w:cs="Arial"/>
          <w:color w:val="000000"/>
          <w:szCs w:val="22"/>
          <w:lang w:val="en-GB"/>
        </w:rPr>
        <w:t xml:space="preserve">The same rules apply to any medical treatment an intersex person may be undergoing </w:t>
      </w:r>
      <w:r w:rsidR="001927CF">
        <w:rPr>
          <w:rFonts w:cs="Arial"/>
          <w:color w:val="000000"/>
          <w:szCs w:val="22"/>
          <w:lang w:val="en-GB"/>
        </w:rPr>
        <w:t xml:space="preserve">in relation to the intersex condition </w:t>
      </w:r>
      <w:r w:rsidRPr="00D84D56">
        <w:rPr>
          <w:rFonts w:cs="Arial"/>
          <w:color w:val="000000"/>
          <w:szCs w:val="22"/>
          <w:lang w:val="en-GB"/>
        </w:rPr>
        <w:t>whilst employed by the Council.</w:t>
      </w:r>
    </w:p>
    <w:p w14:paraId="5C7D3BA8" w14:textId="4B66836F" w:rsidR="006F3B3A" w:rsidRDefault="006F3B3A" w:rsidP="00584A8F">
      <w:pPr>
        <w:tabs>
          <w:tab w:val="num" w:pos="-567"/>
        </w:tabs>
        <w:autoSpaceDE w:val="0"/>
        <w:autoSpaceDN w:val="0"/>
        <w:adjustRightInd w:val="0"/>
        <w:rPr>
          <w:rFonts w:cs="Arial"/>
          <w:color w:val="000000"/>
          <w:szCs w:val="22"/>
          <w:lang w:val="en-GB"/>
        </w:rPr>
      </w:pPr>
    </w:p>
    <w:p w14:paraId="456028BC" w14:textId="2F9CF0D1" w:rsidR="00E92D4A" w:rsidRDefault="006F3B3A" w:rsidP="00653F53">
      <w:pPr>
        <w:rPr>
          <w:szCs w:val="22"/>
          <w:lang w:val="en-GB" w:eastAsia="en-US"/>
        </w:rPr>
      </w:pPr>
      <w:r>
        <w:rPr>
          <w:szCs w:val="22"/>
          <w:lang w:val="en-GB" w:eastAsia="en-US"/>
        </w:rPr>
        <w:t xml:space="preserve">Please refer to the Council’s </w:t>
      </w:r>
      <w:hyperlink r:id="rId28" w:history="1">
        <w:r w:rsidRPr="00DF401D">
          <w:rPr>
            <w:rStyle w:val="Hyperlink"/>
            <w:szCs w:val="22"/>
            <w:lang w:val="en-GB" w:eastAsia="en-US"/>
          </w:rPr>
          <w:t>Managing Sickness Policy and Procedure</w:t>
        </w:r>
      </w:hyperlink>
      <w:r>
        <w:rPr>
          <w:szCs w:val="22"/>
          <w:lang w:val="en-GB" w:eastAsia="en-US"/>
        </w:rPr>
        <w:t xml:space="preserve"> for further </w:t>
      </w:r>
      <w:r w:rsidRPr="00DF401D">
        <w:rPr>
          <w:szCs w:val="22"/>
          <w:lang w:val="en-GB" w:eastAsia="en-US"/>
        </w:rPr>
        <w:t>information</w:t>
      </w:r>
      <w:r w:rsidR="00C24046">
        <w:rPr>
          <w:szCs w:val="22"/>
          <w:lang w:val="en-GB" w:eastAsia="en-US"/>
        </w:rPr>
        <w:t>.</w:t>
      </w:r>
    </w:p>
    <w:p w14:paraId="0DDAF912" w14:textId="77777777" w:rsidR="006F3B3A" w:rsidRPr="00D84D56" w:rsidRDefault="006F3B3A" w:rsidP="00653F53">
      <w:pPr>
        <w:rPr>
          <w:szCs w:val="22"/>
          <w:lang w:val="en-GB" w:eastAsia="en-US"/>
        </w:rPr>
      </w:pPr>
    </w:p>
    <w:p w14:paraId="1507855F" w14:textId="77777777" w:rsidR="001E0D51" w:rsidRPr="00D84D56" w:rsidRDefault="00E92D4A" w:rsidP="001C15D9">
      <w:pPr>
        <w:numPr>
          <w:ilvl w:val="1"/>
          <w:numId w:val="1"/>
        </w:numPr>
        <w:ind w:left="-135"/>
        <w:rPr>
          <w:b/>
          <w:szCs w:val="22"/>
          <w:lang w:val="en-GB" w:eastAsia="en-US"/>
        </w:rPr>
      </w:pPr>
      <w:r w:rsidRPr="00D84D56">
        <w:rPr>
          <w:b/>
          <w:szCs w:val="22"/>
          <w:lang w:val="en-GB" w:eastAsia="en-US"/>
        </w:rPr>
        <w:t xml:space="preserve"> </w:t>
      </w:r>
      <w:r w:rsidRPr="00D84D56">
        <w:rPr>
          <w:b/>
          <w:szCs w:val="22"/>
          <w:lang w:val="en-GB" w:eastAsia="en-US"/>
        </w:rPr>
        <w:tab/>
      </w:r>
      <w:r w:rsidR="003F000F" w:rsidRPr="00D84D56">
        <w:rPr>
          <w:b/>
          <w:szCs w:val="22"/>
          <w:lang w:val="en-GB" w:eastAsia="en-US"/>
        </w:rPr>
        <w:t>Redeployment</w:t>
      </w:r>
    </w:p>
    <w:p w14:paraId="5C945584" w14:textId="77777777" w:rsidR="005E1668" w:rsidRPr="00D84D56" w:rsidRDefault="005E1668" w:rsidP="005E1668">
      <w:pPr>
        <w:rPr>
          <w:rFonts w:cs="Arial"/>
          <w:lang w:val="en-GB"/>
        </w:rPr>
      </w:pPr>
      <w:r w:rsidRPr="00D84D56">
        <w:rPr>
          <w:rFonts w:cs="Arial"/>
          <w:color w:val="000000"/>
          <w:szCs w:val="22"/>
          <w:lang w:val="en-GB"/>
        </w:rPr>
        <w:t xml:space="preserve">Any </w:t>
      </w:r>
      <w:r w:rsidRPr="00D84D56">
        <w:rPr>
          <w:rFonts w:cs="Arial"/>
          <w:lang w:val="en-GB"/>
        </w:rPr>
        <w:t>employee intending to undergo gender reassignment while employed in a single sex position or environment prior to a change of gender may request redeployment elsewhere in the Council to find suitable alternative vacancies where possible. In these circumstances, redeployment should be discussed as early as possible to allow time to explore this option.</w:t>
      </w:r>
    </w:p>
    <w:p w14:paraId="41A19826" w14:textId="77777777" w:rsidR="005E1668" w:rsidRPr="00D84D56" w:rsidRDefault="005E1668" w:rsidP="005E1668">
      <w:pPr>
        <w:rPr>
          <w:rFonts w:cs="Arial"/>
          <w:lang w:val="en-GB"/>
        </w:rPr>
      </w:pPr>
    </w:p>
    <w:p w14:paraId="6F56B28F" w14:textId="5FED6E37" w:rsidR="001E0D51" w:rsidRPr="00D84D56" w:rsidRDefault="005E1668" w:rsidP="005E1668">
      <w:pPr>
        <w:rPr>
          <w:rFonts w:cs="Arial"/>
          <w:color w:val="000000"/>
          <w:szCs w:val="22"/>
          <w:lang w:val="en-GB"/>
        </w:rPr>
      </w:pPr>
      <w:r w:rsidRPr="00D84D56">
        <w:rPr>
          <w:rFonts w:cs="Arial"/>
          <w:lang w:val="en-GB"/>
        </w:rPr>
        <w:t xml:space="preserve">Any redeployment must not result in an employee being placed in a less favourable position than before the transition. For more information on this process, please refer to the Council’s Human Resources </w:t>
      </w:r>
      <w:hyperlink r:id="rId29" w:history="1">
        <w:r w:rsidRPr="00D84D56">
          <w:rPr>
            <w:rStyle w:val="Hyperlink"/>
            <w:rFonts w:cs="Arial"/>
            <w:lang w:val="en-GB"/>
          </w:rPr>
          <w:t>Policy for Managing Change</w:t>
        </w:r>
      </w:hyperlink>
      <w:r w:rsidRPr="00D84D56">
        <w:rPr>
          <w:rFonts w:cs="Arial"/>
          <w:lang w:val="en-GB"/>
        </w:rPr>
        <w:t>, Part 3</w:t>
      </w:r>
      <w:r w:rsidR="00295510">
        <w:rPr>
          <w:rFonts w:cs="Arial"/>
          <w:lang w:val="en-GB"/>
        </w:rPr>
        <w:t>,</w:t>
      </w:r>
      <w:r w:rsidRPr="00D84D56">
        <w:rPr>
          <w:rFonts w:cs="Arial"/>
          <w:lang w:val="en-GB"/>
        </w:rPr>
        <w:t xml:space="preserve"> Redeployment Policy</w:t>
      </w:r>
      <w:r w:rsidR="00295510">
        <w:rPr>
          <w:rFonts w:cs="Arial"/>
          <w:lang w:val="en-GB"/>
        </w:rPr>
        <w:t xml:space="preserve"> for further information</w:t>
      </w:r>
      <w:r w:rsidRPr="00D84D56">
        <w:rPr>
          <w:rFonts w:cs="Arial"/>
          <w:lang w:val="en-GB"/>
        </w:rPr>
        <w:t>. Human Resources will act in an advisory capacity for the employee and manager throughout the redeployment</w:t>
      </w:r>
      <w:r w:rsidRPr="00D84D56">
        <w:rPr>
          <w:rFonts w:cs="Arial"/>
          <w:color w:val="000000"/>
          <w:szCs w:val="22"/>
          <w:lang w:val="en-GB"/>
        </w:rPr>
        <w:t xml:space="preserve"> process.</w:t>
      </w:r>
    </w:p>
    <w:p w14:paraId="6C0D0019" w14:textId="77777777" w:rsidR="00323470" w:rsidRPr="00D84D56" w:rsidRDefault="00323470" w:rsidP="00323470">
      <w:pPr>
        <w:rPr>
          <w:szCs w:val="22"/>
          <w:lang w:val="en-GB" w:eastAsia="en-US"/>
        </w:rPr>
      </w:pPr>
    </w:p>
    <w:p w14:paraId="49C9AB81" w14:textId="77777777" w:rsidR="001E0D51" w:rsidRPr="00D84D56" w:rsidRDefault="00653F53" w:rsidP="003D61BE">
      <w:pPr>
        <w:numPr>
          <w:ilvl w:val="1"/>
          <w:numId w:val="1"/>
        </w:numPr>
        <w:ind w:left="-135"/>
        <w:rPr>
          <w:b/>
          <w:szCs w:val="22"/>
          <w:lang w:val="en-GB" w:eastAsia="en-US"/>
        </w:rPr>
      </w:pPr>
      <w:r w:rsidRPr="00D84D56">
        <w:rPr>
          <w:b/>
          <w:szCs w:val="22"/>
          <w:lang w:val="en-GB" w:eastAsia="en-US"/>
        </w:rPr>
        <w:t xml:space="preserve"> </w:t>
      </w:r>
      <w:r w:rsidRPr="00D84D56">
        <w:rPr>
          <w:b/>
          <w:szCs w:val="22"/>
          <w:lang w:val="en-GB" w:eastAsia="en-US"/>
        </w:rPr>
        <w:tab/>
      </w:r>
      <w:r w:rsidR="003F000F" w:rsidRPr="00D84D56">
        <w:rPr>
          <w:b/>
          <w:szCs w:val="22"/>
          <w:lang w:val="en-GB" w:eastAsia="en-US"/>
        </w:rPr>
        <w:t>Dealing with questions of staff, clients, and the wider community</w:t>
      </w:r>
    </w:p>
    <w:p w14:paraId="58C54768" w14:textId="77777777" w:rsidR="00644801" w:rsidRPr="00D84D56" w:rsidRDefault="00644801" w:rsidP="005E1668">
      <w:pPr>
        <w:rPr>
          <w:rFonts w:cs="Arial"/>
          <w:szCs w:val="22"/>
          <w:lang w:val="en-GB"/>
        </w:rPr>
      </w:pPr>
      <w:r w:rsidRPr="00D84D56">
        <w:rPr>
          <w:rFonts w:cs="Arial"/>
          <w:szCs w:val="22"/>
          <w:lang w:val="en-GB"/>
        </w:rPr>
        <w:t>Gender and sex characteristics diversity are naturally occurring and gender non-conforming, people transitioning, or intersex people should not be made feel alienated through intrusive questioning.</w:t>
      </w:r>
    </w:p>
    <w:p w14:paraId="23514EEE" w14:textId="77777777" w:rsidR="00644801" w:rsidRPr="00D84D56" w:rsidRDefault="00644801" w:rsidP="005E1668">
      <w:pPr>
        <w:rPr>
          <w:rFonts w:cs="Arial"/>
          <w:szCs w:val="22"/>
          <w:lang w:val="en-GB"/>
        </w:rPr>
      </w:pPr>
    </w:p>
    <w:p w14:paraId="014DB464" w14:textId="77777777" w:rsidR="00644801" w:rsidRPr="00D84D56" w:rsidRDefault="00644801" w:rsidP="005E1668">
      <w:pPr>
        <w:rPr>
          <w:rFonts w:cs="Arial"/>
          <w:szCs w:val="22"/>
          <w:lang w:val="en-GB"/>
        </w:rPr>
      </w:pPr>
      <w:r w:rsidRPr="00D84D56">
        <w:rPr>
          <w:rFonts w:cs="Arial"/>
          <w:szCs w:val="22"/>
          <w:lang w:val="en-GB"/>
        </w:rPr>
        <w:t>A sensitive and professional approach to any questions that may be asked is required to ensure that any communications are clear and informative while respecting the individual’s circumstances, which are unique.</w:t>
      </w:r>
    </w:p>
    <w:p w14:paraId="1D0E0F16" w14:textId="77777777" w:rsidR="005E1668" w:rsidRPr="00D84D56" w:rsidRDefault="005E1668" w:rsidP="005E1668">
      <w:pPr>
        <w:rPr>
          <w:rFonts w:cs="Arial"/>
          <w:szCs w:val="22"/>
          <w:lang w:val="en-GB"/>
        </w:rPr>
      </w:pPr>
    </w:p>
    <w:p w14:paraId="3F657FA8" w14:textId="4B47F193" w:rsidR="005E1668" w:rsidRPr="00D84D56" w:rsidRDefault="005E1668" w:rsidP="005E1668">
      <w:pPr>
        <w:rPr>
          <w:rFonts w:cs="Arial"/>
          <w:szCs w:val="22"/>
          <w:lang w:val="en-GB"/>
        </w:rPr>
      </w:pPr>
      <w:r w:rsidRPr="00D84D56">
        <w:rPr>
          <w:rFonts w:cs="Arial"/>
          <w:szCs w:val="22"/>
          <w:lang w:val="en-GB"/>
        </w:rPr>
        <w:t>The Gender Identity Research and Education Society (GIRES) have produced some</w:t>
      </w:r>
      <w:r w:rsidR="00584A8F" w:rsidRPr="00D84D56">
        <w:rPr>
          <w:rFonts w:cs="Arial"/>
          <w:szCs w:val="22"/>
          <w:lang w:val="en-GB"/>
        </w:rPr>
        <w:t xml:space="preserve"> </w:t>
      </w:r>
      <w:r w:rsidRPr="00D84D56">
        <w:rPr>
          <w:rFonts w:cs="Arial"/>
          <w:szCs w:val="22"/>
          <w:lang w:val="en-GB"/>
        </w:rPr>
        <w:t>helpful training tools</w:t>
      </w:r>
      <w:r w:rsidR="00644801" w:rsidRPr="00D84D56">
        <w:rPr>
          <w:rFonts w:cs="Arial"/>
          <w:szCs w:val="22"/>
          <w:lang w:val="en-GB"/>
        </w:rPr>
        <w:t xml:space="preserve">, which </w:t>
      </w:r>
      <w:r w:rsidRPr="00D84D56">
        <w:rPr>
          <w:rFonts w:cs="Arial"/>
          <w:szCs w:val="22"/>
          <w:lang w:val="en-GB"/>
        </w:rPr>
        <w:t xml:space="preserve">can be found </w:t>
      </w:r>
      <w:hyperlink r:id="rId30" w:history="1">
        <w:r w:rsidR="00644801" w:rsidRPr="00D84D56">
          <w:rPr>
            <w:rStyle w:val="Hyperlink"/>
            <w:rFonts w:cs="Arial"/>
            <w:szCs w:val="22"/>
            <w:lang w:val="en-GB"/>
          </w:rPr>
          <w:t>here</w:t>
        </w:r>
      </w:hyperlink>
      <w:r w:rsidR="00644801" w:rsidRPr="00D84D56">
        <w:rPr>
          <w:rFonts w:cs="Arial"/>
          <w:szCs w:val="22"/>
          <w:lang w:val="en-GB"/>
        </w:rPr>
        <w:t>.</w:t>
      </w:r>
      <w:r w:rsidRPr="00D84D56">
        <w:rPr>
          <w:rFonts w:cs="Arial"/>
          <w:szCs w:val="22"/>
          <w:lang w:val="en-GB"/>
        </w:rPr>
        <w:t xml:space="preserve"> </w:t>
      </w:r>
      <w:r w:rsidR="00BC620C" w:rsidRPr="00D84D56">
        <w:rPr>
          <w:rFonts w:cs="Arial"/>
          <w:szCs w:val="22"/>
          <w:lang w:val="en-GB"/>
        </w:rPr>
        <w:t xml:space="preserve">For more resources, please </w:t>
      </w:r>
      <w:r w:rsidR="00272938">
        <w:rPr>
          <w:rFonts w:cs="Arial"/>
          <w:szCs w:val="22"/>
          <w:lang w:val="en-GB"/>
        </w:rPr>
        <w:t>refer to</w:t>
      </w:r>
      <w:r w:rsidR="00BC620C" w:rsidRPr="00D84D56">
        <w:rPr>
          <w:rFonts w:cs="Arial"/>
          <w:szCs w:val="22"/>
          <w:lang w:val="en-GB"/>
        </w:rPr>
        <w:t xml:space="preserve"> </w:t>
      </w:r>
      <w:hyperlink w:anchor="_Appendix_4:_Sources" w:history="1">
        <w:r w:rsidR="00AF1BB5" w:rsidRPr="00D84D56">
          <w:rPr>
            <w:rStyle w:val="Hyperlink"/>
            <w:lang w:val="en-GB" w:eastAsia="en-US"/>
          </w:rPr>
          <w:t>Appendix 4: Sources of information, advice and support</w:t>
        </w:r>
      </w:hyperlink>
      <w:r w:rsidR="00BC620C" w:rsidRPr="00D84D56">
        <w:rPr>
          <w:rFonts w:cs="Arial"/>
          <w:szCs w:val="22"/>
          <w:lang w:val="en-GB"/>
        </w:rPr>
        <w:t>.</w:t>
      </w:r>
    </w:p>
    <w:p w14:paraId="33DF2C02" w14:textId="77777777" w:rsidR="00584A8F" w:rsidRPr="00D84D56" w:rsidRDefault="00584A8F" w:rsidP="00584A8F">
      <w:pPr>
        <w:tabs>
          <w:tab w:val="num" w:pos="-567"/>
        </w:tabs>
        <w:autoSpaceDE w:val="0"/>
        <w:autoSpaceDN w:val="0"/>
        <w:adjustRightInd w:val="0"/>
        <w:rPr>
          <w:szCs w:val="22"/>
          <w:lang w:val="en-GB" w:eastAsia="en-US"/>
        </w:rPr>
      </w:pPr>
    </w:p>
    <w:p w14:paraId="13A80DF7" w14:textId="0B90B6A2" w:rsidR="00584A8F" w:rsidRPr="00D84D56" w:rsidRDefault="00644801" w:rsidP="00584A8F">
      <w:pPr>
        <w:tabs>
          <w:tab w:val="num" w:pos="-567"/>
        </w:tabs>
        <w:autoSpaceDE w:val="0"/>
        <w:autoSpaceDN w:val="0"/>
        <w:adjustRightInd w:val="0"/>
        <w:rPr>
          <w:rFonts w:cs="Arial"/>
          <w:color w:val="000000"/>
          <w:szCs w:val="22"/>
          <w:lang w:val="en-GB"/>
        </w:rPr>
      </w:pPr>
      <w:r w:rsidRPr="00D84D56">
        <w:rPr>
          <w:rFonts w:cs="Arial"/>
          <w:color w:val="000000"/>
          <w:szCs w:val="22"/>
          <w:lang w:val="en-GB"/>
        </w:rPr>
        <w:t>T</w:t>
      </w:r>
      <w:r w:rsidR="00584A8F" w:rsidRPr="00D84D56">
        <w:rPr>
          <w:rFonts w:cs="Arial"/>
          <w:color w:val="000000"/>
          <w:szCs w:val="22"/>
          <w:lang w:val="en-GB"/>
        </w:rPr>
        <w:t xml:space="preserve">he </w:t>
      </w:r>
      <w:r w:rsidRPr="00D84D56">
        <w:rPr>
          <w:rFonts w:cs="Arial"/>
          <w:color w:val="000000"/>
          <w:szCs w:val="22"/>
          <w:lang w:val="en-GB"/>
        </w:rPr>
        <w:t>transition action plan (</w:t>
      </w:r>
      <w:r w:rsidR="00295510">
        <w:rPr>
          <w:rFonts w:cs="Arial"/>
          <w:color w:val="000000"/>
          <w:szCs w:val="22"/>
          <w:lang w:val="en-GB"/>
        </w:rPr>
        <w:t>please refer to</w:t>
      </w:r>
      <w:r w:rsidRPr="00D84D56">
        <w:rPr>
          <w:rFonts w:cs="Arial"/>
          <w:color w:val="000000"/>
          <w:szCs w:val="22"/>
          <w:lang w:val="en-GB"/>
        </w:rPr>
        <w:t xml:space="preserve"> </w:t>
      </w:r>
      <w:hyperlink w:anchor="_Appendix_3:_The" w:history="1">
        <w:r w:rsidRPr="00D84D56">
          <w:rPr>
            <w:rStyle w:val="Hyperlink"/>
            <w:rFonts w:cs="Arial"/>
            <w:szCs w:val="22"/>
            <w:lang w:val="en-GB"/>
          </w:rPr>
          <w:t>Appendix 3</w:t>
        </w:r>
      </w:hyperlink>
      <w:r w:rsidR="00AF1BB5">
        <w:rPr>
          <w:rStyle w:val="Hyperlink"/>
          <w:rFonts w:cs="Arial"/>
          <w:szCs w:val="22"/>
          <w:lang w:val="en-GB"/>
        </w:rPr>
        <w:t>: The transition process</w:t>
      </w:r>
      <w:r w:rsidRPr="00D84D56">
        <w:rPr>
          <w:rFonts w:cs="Arial"/>
          <w:color w:val="000000"/>
          <w:szCs w:val="22"/>
          <w:lang w:val="en-GB"/>
        </w:rPr>
        <w:t xml:space="preserve">) agreed between the </w:t>
      </w:r>
      <w:r w:rsidR="00584A8F" w:rsidRPr="00D84D56">
        <w:rPr>
          <w:rFonts w:cs="Arial"/>
          <w:color w:val="000000"/>
          <w:szCs w:val="22"/>
          <w:lang w:val="en-GB"/>
        </w:rPr>
        <w:t>manager and</w:t>
      </w:r>
      <w:r w:rsidRPr="00D84D56">
        <w:rPr>
          <w:rFonts w:cs="Arial"/>
          <w:color w:val="000000"/>
          <w:szCs w:val="22"/>
          <w:lang w:val="en-GB"/>
        </w:rPr>
        <w:t xml:space="preserve"> the</w:t>
      </w:r>
      <w:r w:rsidR="00584A8F" w:rsidRPr="00D84D56">
        <w:rPr>
          <w:rFonts w:cs="Arial"/>
          <w:color w:val="000000"/>
          <w:szCs w:val="22"/>
          <w:lang w:val="en-GB"/>
        </w:rPr>
        <w:t xml:space="preserve"> employee will </w:t>
      </w:r>
      <w:r w:rsidRPr="00D84D56">
        <w:rPr>
          <w:rFonts w:cs="Arial"/>
          <w:color w:val="000000"/>
          <w:szCs w:val="22"/>
          <w:lang w:val="en-GB"/>
        </w:rPr>
        <w:t>include</w:t>
      </w:r>
      <w:r w:rsidR="00584A8F" w:rsidRPr="00D84D56">
        <w:rPr>
          <w:rFonts w:cs="Arial"/>
          <w:color w:val="000000"/>
          <w:szCs w:val="22"/>
          <w:lang w:val="en-GB"/>
        </w:rPr>
        <w:t xml:space="preserve"> how </w:t>
      </w:r>
      <w:r w:rsidRPr="00D84D56">
        <w:rPr>
          <w:rFonts w:cs="Arial"/>
          <w:color w:val="000000"/>
          <w:szCs w:val="22"/>
          <w:lang w:val="en-GB"/>
        </w:rPr>
        <w:t xml:space="preserve">colleagues, </w:t>
      </w:r>
      <w:r w:rsidRPr="00D84D56">
        <w:rPr>
          <w:szCs w:val="22"/>
          <w:lang w:val="en-GB" w:eastAsia="en-US"/>
        </w:rPr>
        <w:t>working partners, and clients</w:t>
      </w:r>
      <w:r w:rsidR="00584A8F" w:rsidRPr="00D84D56">
        <w:rPr>
          <w:rFonts w:cs="Arial"/>
          <w:color w:val="000000"/>
          <w:szCs w:val="22"/>
          <w:lang w:val="en-GB"/>
        </w:rPr>
        <w:t xml:space="preserve"> are to be informed of the transition—whether the employee wishes to inform colleagues and clients themselves or would they prefer the Council to do this.</w:t>
      </w:r>
    </w:p>
    <w:p w14:paraId="312C69EA" w14:textId="77777777" w:rsidR="00584A8F" w:rsidRPr="00D84D56" w:rsidRDefault="00584A8F" w:rsidP="00584A8F">
      <w:pPr>
        <w:tabs>
          <w:tab w:val="num" w:pos="-567"/>
        </w:tabs>
        <w:autoSpaceDE w:val="0"/>
        <w:autoSpaceDN w:val="0"/>
        <w:adjustRightInd w:val="0"/>
        <w:rPr>
          <w:rFonts w:cs="Arial"/>
          <w:color w:val="000000"/>
          <w:szCs w:val="22"/>
          <w:lang w:val="en-GB"/>
        </w:rPr>
      </w:pPr>
    </w:p>
    <w:p w14:paraId="0FE7FDCB" w14:textId="1CA65C6D" w:rsidR="00584A8F" w:rsidRPr="00D84D56" w:rsidRDefault="00584A8F" w:rsidP="00584A8F">
      <w:pPr>
        <w:rPr>
          <w:rFonts w:cs="Arial"/>
          <w:color w:val="000000"/>
          <w:szCs w:val="22"/>
          <w:lang w:val="en-GB"/>
        </w:rPr>
      </w:pPr>
      <w:r w:rsidRPr="00D84D56">
        <w:rPr>
          <w:rFonts w:cs="Arial"/>
          <w:color w:val="000000"/>
          <w:szCs w:val="22"/>
          <w:lang w:val="en-GB"/>
        </w:rPr>
        <w:t xml:space="preserve">Colleagues should be reminded that the employee </w:t>
      </w:r>
      <w:r w:rsidR="00644801" w:rsidRPr="00D84D56">
        <w:rPr>
          <w:rFonts w:cs="Arial"/>
          <w:color w:val="000000"/>
          <w:szCs w:val="22"/>
          <w:lang w:val="en-GB"/>
        </w:rPr>
        <w:t>must</w:t>
      </w:r>
      <w:r w:rsidRPr="00D84D56">
        <w:rPr>
          <w:rFonts w:cs="Arial"/>
          <w:color w:val="000000"/>
          <w:szCs w:val="22"/>
          <w:lang w:val="en-GB"/>
        </w:rPr>
        <w:t xml:space="preserve"> be treated with the same respect as any other employee, and this includes being referred to by their new name and their pronoun (</w:t>
      </w:r>
      <w:r w:rsidR="00C953B3">
        <w:rPr>
          <w:rFonts w:cs="Arial"/>
          <w:color w:val="000000"/>
          <w:szCs w:val="22"/>
          <w:lang w:val="en-GB"/>
        </w:rPr>
        <w:t>for example,</w:t>
      </w:r>
      <w:r w:rsidRPr="00D84D56">
        <w:rPr>
          <w:rFonts w:cs="Arial"/>
          <w:color w:val="000000"/>
          <w:szCs w:val="22"/>
          <w:lang w:val="en-GB"/>
        </w:rPr>
        <w:t xml:space="preserve"> </w:t>
      </w:r>
      <w:r w:rsidR="00054BCB">
        <w:rPr>
          <w:rFonts w:cs="Arial"/>
          <w:color w:val="000000"/>
          <w:szCs w:val="22"/>
          <w:lang w:val="en-GB"/>
        </w:rPr>
        <w:t>‘s</w:t>
      </w:r>
      <w:r w:rsidRPr="00D84D56">
        <w:rPr>
          <w:rFonts w:cs="Arial"/>
          <w:color w:val="000000"/>
          <w:szCs w:val="22"/>
          <w:lang w:val="en-GB"/>
        </w:rPr>
        <w:t>he</w:t>
      </w:r>
      <w:r w:rsidR="00054BCB">
        <w:rPr>
          <w:rFonts w:cs="Arial"/>
          <w:color w:val="000000"/>
          <w:szCs w:val="22"/>
          <w:lang w:val="en-GB"/>
        </w:rPr>
        <w:t>’</w:t>
      </w:r>
      <w:r w:rsidRPr="00D84D56">
        <w:rPr>
          <w:rFonts w:cs="Arial"/>
          <w:color w:val="000000"/>
          <w:szCs w:val="22"/>
          <w:lang w:val="en-GB"/>
        </w:rPr>
        <w:t xml:space="preserve">, </w:t>
      </w:r>
      <w:r w:rsidR="00054BCB">
        <w:rPr>
          <w:rFonts w:cs="Arial"/>
          <w:color w:val="000000"/>
          <w:szCs w:val="22"/>
          <w:lang w:val="en-GB"/>
        </w:rPr>
        <w:t>‘</w:t>
      </w:r>
      <w:r w:rsidRPr="00D84D56">
        <w:rPr>
          <w:rFonts w:cs="Arial"/>
          <w:color w:val="000000"/>
          <w:szCs w:val="22"/>
          <w:lang w:val="en-GB"/>
        </w:rPr>
        <w:t>he</w:t>
      </w:r>
      <w:r w:rsidR="00054BCB">
        <w:rPr>
          <w:rFonts w:cs="Arial"/>
          <w:color w:val="000000"/>
          <w:szCs w:val="22"/>
          <w:lang w:val="en-GB"/>
        </w:rPr>
        <w:t>’</w:t>
      </w:r>
      <w:r w:rsidRPr="00D84D56">
        <w:rPr>
          <w:rFonts w:cs="Arial"/>
          <w:color w:val="000000"/>
          <w:szCs w:val="22"/>
          <w:lang w:val="en-GB"/>
        </w:rPr>
        <w:t xml:space="preserve">, </w:t>
      </w:r>
      <w:r w:rsidR="00054BCB">
        <w:rPr>
          <w:rFonts w:cs="Arial"/>
          <w:color w:val="000000"/>
          <w:szCs w:val="22"/>
          <w:lang w:val="en-GB"/>
        </w:rPr>
        <w:t>‘</w:t>
      </w:r>
      <w:r w:rsidRPr="00D84D56">
        <w:rPr>
          <w:rFonts w:cs="Arial"/>
          <w:color w:val="000000"/>
          <w:szCs w:val="22"/>
          <w:lang w:val="en-GB"/>
        </w:rPr>
        <w:t>they</w:t>
      </w:r>
      <w:r w:rsidR="00054BCB">
        <w:rPr>
          <w:rFonts w:cs="Arial"/>
          <w:color w:val="000000"/>
          <w:szCs w:val="22"/>
          <w:lang w:val="en-GB"/>
        </w:rPr>
        <w:t>’</w:t>
      </w:r>
      <w:r w:rsidRPr="00D84D56">
        <w:rPr>
          <w:rFonts w:cs="Arial"/>
          <w:color w:val="000000"/>
          <w:szCs w:val="22"/>
          <w:lang w:val="en-GB"/>
        </w:rPr>
        <w:t>) at all times.</w:t>
      </w:r>
    </w:p>
    <w:p w14:paraId="520008AC" w14:textId="77777777" w:rsidR="00584A8F" w:rsidRPr="00D84D56" w:rsidRDefault="00584A8F" w:rsidP="003F000F">
      <w:pPr>
        <w:rPr>
          <w:szCs w:val="22"/>
          <w:lang w:val="en-GB" w:eastAsia="en-US"/>
        </w:rPr>
      </w:pPr>
    </w:p>
    <w:p w14:paraId="131A91FA" w14:textId="70266229" w:rsidR="00323470" w:rsidRPr="00762DC4" w:rsidRDefault="005E1668" w:rsidP="00323470">
      <w:pPr>
        <w:rPr>
          <w:rFonts w:cs="Arial"/>
          <w:szCs w:val="22"/>
          <w:lang w:val="en-GB"/>
        </w:rPr>
      </w:pPr>
      <w:r w:rsidRPr="00D84D56">
        <w:rPr>
          <w:rFonts w:cs="Arial"/>
          <w:szCs w:val="22"/>
          <w:lang w:val="en-GB"/>
        </w:rPr>
        <w:t xml:space="preserve">Strict confidentiality </w:t>
      </w:r>
      <w:r w:rsidR="00584A8F" w:rsidRPr="00D84D56">
        <w:rPr>
          <w:rFonts w:cs="Arial"/>
          <w:szCs w:val="22"/>
          <w:lang w:val="en-GB"/>
        </w:rPr>
        <w:t>must</w:t>
      </w:r>
      <w:r w:rsidRPr="00D84D56">
        <w:rPr>
          <w:rFonts w:cs="Arial"/>
          <w:szCs w:val="22"/>
          <w:lang w:val="en-GB"/>
        </w:rPr>
        <w:t xml:space="preserve"> be maintained</w:t>
      </w:r>
      <w:r w:rsidR="00295510">
        <w:rPr>
          <w:rFonts w:cs="Arial"/>
          <w:szCs w:val="22"/>
          <w:lang w:val="en-GB"/>
        </w:rPr>
        <w:t>.</w:t>
      </w:r>
      <w:r w:rsidRPr="00D84D56">
        <w:rPr>
          <w:rFonts w:cs="Arial"/>
          <w:szCs w:val="22"/>
          <w:lang w:val="en-GB"/>
        </w:rPr>
        <w:t xml:space="preserve"> </w:t>
      </w:r>
      <w:r w:rsidR="00295510">
        <w:rPr>
          <w:rFonts w:cs="Arial"/>
          <w:szCs w:val="22"/>
          <w:lang w:val="en-GB"/>
        </w:rPr>
        <w:t>N</w:t>
      </w:r>
      <w:r w:rsidRPr="00D84D56">
        <w:rPr>
          <w:rFonts w:cs="Arial"/>
          <w:szCs w:val="22"/>
          <w:lang w:val="en-GB"/>
        </w:rPr>
        <w:t>o information must be provided to the media. Any media queries must be addressed in line with corporate requirements.</w:t>
      </w:r>
    </w:p>
    <w:p w14:paraId="7D5ECDED" w14:textId="77777777" w:rsidR="00EF4AA1" w:rsidRPr="00D84D56" w:rsidRDefault="00145A26" w:rsidP="00EF4AA1">
      <w:pPr>
        <w:pStyle w:val="Heading1"/>
        <w:numPr>
          <w:ilvl w:val="0"/>
          <w:numId w:val="0"/>
        </w:numPr>
        <w:jc w:val="left"/>
        <w:rPr>
          <w:lang w:val="en-GB"/>
        </w:rPr>
      </w:pPr>
      <w:bookmarkStart w:id="13" w:name="_Appendix_1:_Gender"/>
      <w:bookmarkStart w:id="14" w:name="_Appendix_1:_The"/>
      <w:bookmarkEnd w:id="13"/>
      <w:bookmarkEnd w:id="14"/>
      <w:r w:rsidRPr="00D84D56">
        <w:rPr>
          <w:lang w:val="en-GB"/>
        </w:rPr>
        <w:br w:type="page"/>
      </w:r>
      <w:bookmarkStart w:id="15" w:name="_Toc19273743"/>
      <w:r w:rsidR="00EF4AA1" w:rsidRPr="00D84D56">
        <w:rPr>
          <w:lang w:val="en-GB"/>
        </w:rPr>
        <w:t xml:space="preserve">Appendix 1: The </w:t>
      </w:r>
      <w:r w:rsidR="00EE2B26" w:rsidRPr="00D84D56">
        <w:rPr>
          <w:lang w:val="en-GB"/>
        </w:rPr>
        <w:t>l</w:t>
      </w:r>
      <w:r w:rsidR="00EF4AA1" w:rsidRPr="00D84D56">
        <w:rPr>
          <w:lang w:val="en-GB"/>
        </w:rPr>
        <w:t xml:space="preserve">egal </w:t>
      </w:r>
      <w:r w:rsidR="00EE2B26" w:rsidRPr="00D84D56">
        <w:rPr>
          <w:lang w:val="en-GB"/>
        </w:rPr>
        <w:t>f</w:t>
      </w:r>
      <w:r w:rsidR="00EF4AA1" w:rsidRPr="00D84D56">
        <w:rPr>
          <w:lang w:val="en-GB"/>
        </w:rPr>
        <w:t>ramework</w:t>
      </w:r>
      <w:bookmarkEnd w:id="15"/>
    </w:p>
    <w:p w14:paraId="390F0073" w14:textId="77777777" w:rsidR="00EF4AA1" w:rsidRPr="00D84D56" w:rsidRDefault="00EF4AA1" w:rsidP="00EF4AA1">
      <w:pPr>
        <w:pStyle w:val="Heading1"/>
        <w:numPr>
          <w:ilvl w:val="0"/>
          <w:numId w:val="0"/>
        </w:numPr>
        <w:ind w:left="-207" w:firstLine="207"/>
        <w:rPr>
          <w:lang w:val="en-GB"/>
        </w:rPr>
      </w:pPr>
    </w:p>
    <w:p w14:paraId="0F90FF4B" w14:textId="67E72FB4" w:rsidR="00EF4AA1" w:rsidRPr="001B6F7F" w:rsidRDefault="00EF4AA1" w:rsidP="001B6F7F">
      <w:pPr>
        <w:pStyle w:val="ListParagraph"/>
        <w:numPr>
          <w:ilvl w:val="0"/>
          <w:numId w:val="36"/>
        </w:numPr>
        <w:ind w:left="360"/>
        <w:rPr>
          <w:b/>
          <w:lang w:val="en-GB"/>
        </w:rPr>
      </w:pPr>
      <w:r w:rsidRPr="001B6F7F">
        <w:rPr>
          <w:b/>
          <w:lang w:val="en-GB"/>
        </w:rPr>
        <w:t>Equality Act 2010</w:t>
      </w:r>
      <w:r w:rsidR="00295510" w:rsidRPr="001B6F7F">
        <w:rPr>
          <w:b/>
          <w:lang w:val="en-GB"/>
        </w:rPr>
        <w:t xml:space="preserve"> {EA}</w:t>
      </w:r>
    </w:p>
    <w:p w14:paraId="489E869C" w14:textId="77777777" w:rsidR="00EF4AA1" w:rsidRPr="00D84D56" w:rsidRDefault="00EF4AA1" w:rsidP="00EF4AA1">
      <w:pPr>
        <w:rPr>
          <w:rFonts w:cs="Arial"/>
          <w:color w:val="000000"/>
          <w:szCs w:val="22"/>
          <w:lang w:val="en-GB"/>
        </w:rPr>
      </w:pPr>
      <w:r w:rsidRPr="00D84D56">
        <w:rPr>
          <w:rFonts w:cs="Arial"/>
          <w:color w:val="000000"/>
          <w:szCs w:val="22"/>
          <w:lang w:val="en-GB"/>
        </w:rPr>
        <w:t>The EA outlaws direct and indirect discrimination, harassment and victimisation in services and public functions, premises, work, education, associations and transport.</w:t>
      </w:r>
    </w:p>
    <w:p w14:paraId="049EE884" w14:textId="77777777" w:rsidR="00EF4AA1" w:rsidRPr="00D84D56" w:rsidRDefault="00EF4AA1" w:rsidP="00EF4AA1">
      <w:pPr>
        <w:rPr>
          <w:rFonts w:cs="Arial"/>
          <w:color w:val="000000"/>
          <w:szCs w:val="22"/>
          <w:lang w:val="en-GB"/>
        </w:rPr>
      </w:pPr>
    </w:p>
    <w:p w14:paraId="79415ABD" w14:textId="64139B47" w:rsidR="00EF4AA1" w:rsidRPr="00D84D56" w:rsidRDefault="00EF4AA1" w:rsidP="00EF4AA1">
      <w:pPr>
        <w:rPr>
          <w:rFonts w:cs="Arial"/>
          <w:color w:val="000000"/>
          <w:szCs w:val="22"/>
          <w:lang w:val="en-GB"/>
        </w:rPr>
      </w:pPr>
      <w:r w:rsidRPr="00D84D56">
        <w:rPr>
          <w:rFonts w:cs="Arial"/>
          <w:color w:val="000000"/>
          <w:szCs w:val="22"/>
          <w:lang w:val="en-GB"/>
        </w:rPr>
        <w:t xml:space="preserve">For more information, please visit the Council’s Equality and Diversity </w:t>
      </w:r>
      <w:hyperlink r:id="rId31" w:history="1">
        <w:r w:rsidRPr="00D84D56">
          <w:rPr>
            <w:rStyle w:val="Hyperlink"/>
            <w:rFonts w:cs="Arial"/>
            <w:szCs w:val="22"/>
            <w:lang w:val="en-GB"/>
          </w:rPr>
          <w:t>Intranet page</w:t>
        </w:r>
      </w:hyperlink>
      <w:r w:rsidR="00295510">
        <w:rPr>
          <w:rStyle w:val="Hyperlink"/>
          <w:rFonts w:cs="Arial"/>
          <w:szCs w:val="22"/>
          <w:lang w:val="en-GB"/>
        </w:rPr>
        <w:t xml:space="preserve"> and the Dignity at work: Anti bullying and harassment policy</w:t>
      </w:r>
      <w:r w:rsidR="00295510">
        <w:rPr>
          <w:rFonts w:cs="Arial"/>
          <w:color w:val="000000"/>
          <w:szCs w:val="22"/>
          <w:lang w:val="en-GB"/>
        </w:rPr>
        <w:t xml:space="preserve"> for further information on this.</w:t>
      </w:r>
    </w:p>
    <w:p w14:paraId="5B4304CA" w14:textId="77777777" w:rsidR="00EF4AA1" w:rsidRPr="00D84D56" w:rsidRDefault="00EF4AA1" w:rsidP="00EF4AA1">
      <w:pPr>
        <w:rPr>
          <w:rFonts w:cs="Arial"/>
          <w:color w:val="000000"/>
          <w:szCs w:val="22"/>
          <w:lang w:val="en-GB"/>
        </w:rPr>
      </w:pPr>
    </w:p>
    <w:p w14:paraId="351B8FA0" w14:textId="77777777" w:rsidR="00EF4AA1" w:rsidRPr="00D84D56" w:rsidRDefault="00EF4AA1" w:rsidP="00EF4AA1">
      <w:pPr>
        <w:rPr>
          <w:rFonts w:cs="Arial"/>
          <w:b/>
          <w:color w:val="000000"/>
          <w:szCs w:val="22"/>
          <w:lang w:val="en-GB"/>
        </w:rPr>
      </w:pPr>
      <w:r w:rsidRPr="00D84D56">
        <w:rPr>
          <w:rFonts w:cs="Arial"/>
          <w:b/>
          <w:color w:val="000000"/>
          <w:szCs w:val="22"/>
          <w:lang w:val="en-GB"/>
        </w:rPr>
        <w:t>Gender reassignment</w:t>
      </w:r>
    </w:p>
    <w:p w14:paraId="7D61C995" w14:textId="4DF3A92D" w:rsidR="00EF4AA1" w:rsidRPr="00D84D56" w:rsidRDefault="00EF4AA1" w:rsidP="00EF4AA1">
      <w:pPr>
        <w:rPr>
          <w:rFonts w:cs="Arial"/>
          <w:color w:val="000000"/>
          <w:szCs w:val="22"/>
          <w:lang w:val="en-GB"/>
        </w:rPr>
      </w:pPr>
      <w:r w:rsidRPr="00D84D56">
        <w:rPr>
          <w:rFonts w:cs="Arial"/>
          <w:color w:val="000000"/>
          <w:szCs w:val="22"/>
          <w:lang w:val="en-GB"/>
        </w:rPr>
        <w:t>One of the protected characteristics is gender reassignment</w:t>
      </w:r>
      <w:r w:rsidR="00295510">
        <w:rPr>
          <w:rFonts w:cs="Arial"/>
          <w:color w:val="000000"/>
          <w:szCs w:val="22"/>
          <w:lang w:val="en-GB"/>
        </w:rPr>
        <w:t xml:space="preserve">, </w:t>
      </w:r>
      <w:r w:rsidRPr="00D84D56">
        <w:rPr>
          <w:rFonts w:cs="Arial"/>
          <w:color w:val="000000"/>
          <w:szCs w:val="22"/>
          <w:lang w:val="en-GB"/>
        </w:rPr>
        <w:t>it provides for significant protections in relation to recruitment, transfer, training and promotion, access to work-related benefits, facilities and services, dismissal, and any other detriment.</w:t>
      </w:r>
    </w:p>
    <w:p w14:paraId="2B7F5EE1" w14:textId="77777777" w:rsidR="00EF4AA1" w:rsidRPr="00D84D56" w:rsidRDefault="00EF4AA1" w:rsidP="00EF4AA1">
      <w:pPr>
        <w:rPr>
          <w:rFonts w:cs="Arial"/>
          <w:color w:val="000000"/>
          <w:szCs w:val="22"/>
          <w:lang w:val="en-GB"/>
        </w:rPr>
      </w:pPr>
    </w:p>
    <w:p w14:paraId="50679A0E" w14:textId="5F38CEA7" w:rsidR="00EF4AA1" w:rsidRPr="00D84D56" w:rsidRDefault="00EF4AA1" w:rsidP="00EF4AA1">
      <w:pPr>
        <w:rPr>
          <w:rFonts w:cs="Arial"/>
          <w:color w:val="000000"/>
          <w:szCs w:val="22"/>
          <w:lang w:val="en-GB"/>
        </w:rPr>
      </w:pPr>
      <w:r w:rsidRPr="00D84D56">
        <w:rPr>
          <w:rFonts w:cs="Arial"/>
          <w:color w:val="000000"/>
          <w:szCs w:val="22"/>
          <w:lang w:val="en-GB"/>
        </w:rPr>
        <w:t xml:space="preserve">People have the protected characteristic if they are proposing to undergo, are undergoing, or have undergone a process or part of a process to reassign their sex by changing their physiological or other attributes of sex. </w:t>
      </w:r>
    </w:p>
    <w:p w14:paraId="318DED65" w14:textId="77777777" w:rsidR="00EF4AA1" w:rsidRPr="00D84D56" w:rsidRDefault="00EF4AA1" w:rsidP="00EF4AA1">
      <w:pPr>
        <w:rPr>
          <w:rFonts w:cs="Arial"/>
          <w:color w:val="000000"/>
          <w:szCs w:val="22"/>
          <w:lang w:val="en-GB"/>
        </w:rPr>
      </w:pPr>
    </w:p>
    <w:p w14:paraId="68D24324" w14:textId="53FA0CF8" w:rsidR="00EF4AA1" w:rsidRPr="00D84D56" w:rsidRDefault="00295510" w:rsidP="00EF4AA1">
      <w:pPr>
        <w:rPr>
          <w:rFonts w:cs="Arial"/>
          <w:color w:val="000000"/>
          <w:szCs w:val="22"/>
          <w:lang w:val="en-GB"/>
        </w:rPr>
      </w:pPr>
      <w:r>
        <w:rPr>
          <w:rFonts w:cs="Arial"/>
          <w:color w:val="000000"/>
          <w:szCs w:val="22"/>
          <w:lang w:val="en-GB"/>
        </w:rPr>
        <w:t>G</w:t>
      </w:r>
      <w:r w:rsidR="00EF4AA1" w:rsidRPr="00D84D56">
        <w:rPr>
          <w:rFonts w:cs="Arial"/>
          <w:color w:val="000000"/>
          <w:szCs w:val="22"/>
          <w:lang w:val="en-GB"/>
        </w:rPr>
        <w:t xml:space="preserve">ender reassignment is considered to be a process of moving away from an individual's birth gender to their </w:t>
      </w:r>
      <w:r w:rsidR="00403185">
        <w:rPr>
          <w:rFonts w:cs="Arial"/>
          <w:color w:val="000000"/>
          <w:szCs w:val="22"/>
          <w:lang w:val="en-GB"/>
        </w:rPr>
        <w:t>lived or acquired</w:t>
      </w:r>
      <w:r w:rsidR="00EF4AA1" w:rsidRPr="00D84D56">
        <w:rPr>
          <w:rFonts w:cs="Arial"/>
          <w:color w:val="000000"/>
          <w:szCs w:val="22"/>
          <w:lang w:val="en-GB"/>
        </w:rPr>
        <w:t xml:space="preserve"> gender, rather than a medical process.</w:t>
      </w:r>
    </w:p>
    <w:p w14:paraId="65669FE1" w14:textId="77777777" w:rsidR="00EF4AA1" w:rsidRPr="00D84D56" w:rsidRDefault="00EF4AA1" w:rsidP="00EF4AA1">
      <w:pPr>
        <w:rPr>
          <w:rFonts w:cs="Arial"/>
          <w:color w:val="000000"/>
          <w:szCs w:val="22"/>
          <w:lang w:val="en-GB"/>
        </w:rPr>
      </w:pPr>
    </w:p>
    <w:p w14:paraId="2D1078D8" w14:textId="77777777" w:rsidR="00EF4AA1" w:rsidRPr="00D84D56" w:rsidRDefault="00EF4AA1" w:rsidP="00EF4AA1">
      <w:pPr>
        <w:rPr>
          <w:rFonts w:cs="Arial"/>
          <w:color w:val="000000"/>
          <w:szCs w:val="22"/>
          <w:lang w:val="en-GB"/>
        </w:rPr>
      </w:pPr>
      <w:r w:rsidRPr="00D84D56">
        <w:rPr>
          <w:rFonts w:cs="Arial"/>
          <w:color w:val="000000"/>
          <w:szCs w:val="22"/>
          <w:lang w:val="en-GB"/>
        </w:rPr>
        <w:t>There is no requirement for a trans person to tell their employer about their gender reassignment status and questions about a possible trans status should not be asked unless one of the exceptions (see below) applies. However, it would be unusual for someone to reach the point of a social transition while in employment without advising their employer.</w:t>
      </w:r>
    </w:p>
    <w:p w14:paraId="6BF8C4D7" w14:textId="77777777" w:rsidR="00EF4AA1" w:rsidRPr="00D84D56" w:rsidRDefault="00EF4AA1" w:rsidP="00EF4AA1">
      <w:pPr>
        <w:rPr>
          <w:rFonts w:cs="Arial"/>
          <w:color w:val="000000"/>
          <w:szCs w:val="22"/>
          <w:lang w:val="en-GB"/>
        </w:rPr>
      </w:pPr>
    </w:p>
    <w:p w14:paraId="41A46C28" w14:textId="77777777" w:rsidR="00EF4AA1" w:rsidRPr="00D84D56" w:rsidRDefault="00EF4AA1" w:rsidP="00EF4AA1">
      <w:pPr>
        <w:rPr>
          <w:rFonts w:cs="Arial"/>
          <w:color w:val="000000"/>
          <w:szCs w:val="22"/>
          <w:lang w:val="en-GB"/>
        </w:rPr>
      </w:pPr>
      <w:r w:rsidRPr="00D84D56">
        <w:rPr>
          <w:rFonts w:cs="Arial"/>
          <w:color w:val="000000"/>
          <w:szCs w:val="22"/>
          <w:lang w:val="en-GB"/>
        </w:rPr>
        <w:t>It is unlawful to refuse to work with someone who is trans even if the refusal is on the grounds of religious belief.</w:t>
      </w:r>
    </w:p>
    <w:p w14:paraId="5BD624B4" w14:textId="77777777" w:rsidR="00EF4AA1" w:rsidRPr="00D84D56" w:rsidRDefault="00EF4AA1" w:rsidP="00EF4AA1">
      <w:pPr>
        <w:rPr>
          <w:rFonts w:cs="Arial"/>
          <w:color w:val="000000"/>
          <w:szCs w:val="22"/>
          <w:lang w:val="en-GB"/>
        </w:rPr>
      </w:pPr>
    </w:p>
    <w:p w14:paraId="414AF5FE" w14:textId="77777777" w:rsidR="00EF4AA1" w:rsidRPr="00D84D56" w:rsidRDefault="00EF4AA1" w:rsidP="00EF4AA1">
      <w:pPr>
        <w:rPr>
          <w:rFonts w:cs="Arial"/>
          <w:color w:val="000000"/>
          <w:szCs w:val="22"/>
          <w:lang w:val="en-GB"/>
        </w:rPr>
      </w:pPr>
      <w:r w:rsidRPr="00D84D56">
        <w:rPr>
          <w:rFonts w:cs="Arial"/>
          <w:color w:val="000000"/>
          <w:szCs w:val="22"/>
          <w:lang w:val="en-GB"/>
        </w:rPr>
        <w:t>The EA 2010 makes exceptions for certain actions, which would otherwise be discrimination on the grounds of gender reassignment - here are some examples but this is not a comprehensive list:</w:t>
      </w:r>
    </w:p>
    <w:p w14:paraId="73CBDAA0" w14:textId="77777777" w:rsidR="00EF4AA1" w:rsidRPr="00D84D56" w:rsidRDefault="00EF4AA1" w:rsidP="00EF4AA1">
      <w:pPr>
        <w:numPr>
          <w:ilvl w:val="0"/>
          <w:numId w:val="6"/>
        </w:numPr>
        <w:rPr>
          <w:rFonts w:cs="Arial"/>
          <w:color w:val="000000"/>
          <w:szCs w:val="22"/>
          <w:lang w:val="en-GB"/>
        </w:rPr>
      </w:pPr>
      <w:r w:rsidRPr="00D84D56">
        <w:rPr>
          <w:rFonts w:cs="Arial"/>
          <w:color w:val="000000"/>
          <w:szCs w:val="22"/>
          <w:lang w:val="en-GB"/>
        </w:rPr>
        <w:t xml:space="preserve">The role really requires someone not to be trans - an occupational requirement. </w:t>
      </w:r>
    </w:p>
    <w:p w14:paraId="6E8F25A8" w14:textId="77777777" w:rsidR="00EF4AA1" w:rsidRPr="00D84D56" w:rsidRDefault="00EF4AA1" w:rsidP="00EF4AA1">
      <w:pPr>
        <w:numPr>
          <w:ilvl w:val="0"/>
          <w:numId w:val="6"/>
        </w:numPr>
        <w:rPr>
          <w:rFonts w:cs="Arial"/>
          <w:color w:val="000000"/>
          <w:szCs w:val="22"/>
          <w:lang w:val="en-GB"/>
        </w:rPr>
      </w:pPr>
      <w:r w:rsidRPr="00D84D56">
        <w:rPr>
          <w:rFonts w:cs="Arial"/>
          <w:color w:val="000000"/>
          <w:szCs w:val="22"/>
          <w:lang w:val="en-GB"/>
        </w:rPr>
        <w:t xml:space="preserve">When positive action is taken to help the employment of a trans person to achieve a more diverse workforce. </w:t>
      </w:r>
    </w:p>
    <w:p w14:paraId="04A48FDA" w14:textId="77777777" w:rsidR="00EF4AA1" w:rsidRPr="00D84D56" w:rsidRDefault="00EF4AA1" w:rsidP="00EF4AA1">
      <w:pPr>
        <w:numPr>
          <w:ilvl w:val="0"/>
          <w:numId w:val="6"/>
        </w:numPr>
        <w:rPr>
          <w:rFonts w:cs="Arial"/>
          <w:color w:val="000000"/>
          <w:szCs w:val="22"/>
          <w:lang w:val="en-GB"/>
        </w:rPr>
      </w:pPr>
      <w:r w:rsidRPr="00D84D56">
        <w:rPr>
          <w:rFonts w:cs="Arial"/>
          <w:color w:val="000000"/>
          <w:szCs w:val="22"/>
          <w:lang w:val="en-GB"/>
        </w:rPr>
        <w:t>An organisation may indirectly discriminate if the discrimination is a proportionate means of achieving a legitimate aim (objectively justified).</w:t>
      </w:r>
    </w:p>
    <w:p w14:paraId="382F4E60" w14:textId="3549993E" w:rsidR="00EF4AA1" w:rsidRDefault="00EF4AA1" w:rsidP="00EF4AA1">
      <w:pPr>
        <w:rPr>
          <w:rFonts w:cs="Arial"/>
          <w:color w:val="000000"/>
          <w:szCs w:val="22"/>
          <w:lang w:val="en-GB"/>
        </w:rPr>
      </w:pPr>
    </w:p>
    <w:p w14:paraId="6388B77D" w14:textId="77777777" w:rsidR="00A6463A" w:rsidRPr="00D84D56" w:rsidRDefault="00A6463A" w:rsidP="00EF4AA1">
      <w:pPr>
        <w:rPr>
          <w:rFonts w:cs="Arial"/>
          <w:color w:val="000000"/>
          <w:szCs w:val="22"/>
          <w:lang w:val="en-GB"/>
        </w:rPr>
      </w:pPr>
    </w:p>
    <w:p w14:paraId="09DE8ADA" w14:textId="77777777" w:rsidR="00EF4AA1" w:rsidRPr="00D84D56" w:rsidRDefault="00EF4AA1" w:rsidP="00EF4AA1">
      <w:pPr>
        <w:rPr>
          <w:rFonts w:cs="Arial"/>
          <w:b/>
          <w:szCs w:val="22"/>
          <w:lang w:val="en-GB"/>
        </w:rPr>
      </w:pPr>
      <w:r w:rsidRPr="00D84D56">
        <w:rPr>
          <w:rFonts w:cs="Arial"/>
          <w:b/>
          <w:szCs w:val="22"/>
          <w:lang w:val="en-GB"/>
        </w:rPr>
        <w:t>Gender identity and intersex condition</w:t>
      </w:r>
    </w:p>
    <w:p w14:paraId="398175BB" w14:textId="40C8157D" w:rsidR="001728FE" w:rsidRPr="00D84D56" w:rsidRDefault="00EF4AA1" w:rsidP="00EF4AA1">
      <w:pPr>
        <w:rPr>
          <w:rFonts w:cs="Arial"/>
          <w:color w:val="000000"/>
          <w:szCs w:val="22"/>
          <w:lang w:val="en-GB"/>
        </w:rPr>
      </w:pPr>
      <w:r w:rsidRPr="00D84D56">
        <w:rPr>
          <w:rFonts w:cs="Arial"/>
          <w:color w:val="000000"/>
          <w:szCs w:val="22"/>
          <w:lang w:val="en-GB"/>
        </w:rPr>
        <w:t xml:space="preserve">Where there is no intention to undertake ‘gender reassignment’, the current legislation does not </w:t>
      </w:r>
      <w:r w:rsidR="00F06DC6" w:rsidRPr="00D84D56">
        <w:rPr>
          <w:rFonts w:cs="Arial"/>
          <w:color w:val="000000"/>
          <w:szCs w:val="22"/>
          <w:lang w:val="en-GB"/>
        </w:rPr>
        <w:t xml:space="preserve">explicitly </w:t>
      </w:r>
      <w:r w:rsidRPr="00D84D56">
        <w:rPr>
          <w:rFonts w:cs="Arial"/>
          <w:color w:val="000000"/>
          <w:szCs w:val="22"/>
          <w:lang w:val="en-GB"/>
        </w:rPr>
        <w:t>cover</w:t>
      </w:r>
      <w:r w:rsidR="00F06DC6" w:rsidRPr="00D84D56">
        <w:rPr>
          <w:rFonts w:cs="Arial"/>
          <w:color w:val="000000"/>
          <w:szCs w:val="22"/>
          <w:lang w:val="en-GB"/>
        </w:rPr>
        <w:t xml:space="preserve"> gender variant individuals (</w:t>
      </w:r>
      <w:r w:rsidR="00C953B3">
        <w:rPr>
          <w:rFonts w:cs="Arial"/>
          <w:color w:val="000000"/>
          <w:szCs w:val="22"/>
          <w:lang w:val="en-GB"/>
        </w:rPr>
        <w:t>for example,</w:t>
      </w:r>
      <w:r w:rsidR="00F06DC6" w:rsidRPr="00D84D56">
        <w:rPr>
          <w:rFonts w:cs="Arial"/>
          <w:color w:val="000000"/>
          <w:szCs w:val="22"/>
          <w:lang w:val="en-GB"/>
        </w:rPr>
        <w:t xml:space="preserve"> non-binary, gender fluid) or intersex people.</w:t>
      </w:r>
      <w:r w:rsidR="005051C6" w:rsidRPr="00D84D56">
        <w:rPr>
          <w:rFonts w:cs="Arial"/>
          <w:color w:val="000000"/>
          <w:szCs w:val="22"/>
          <w:lang w:val="en-GB"/>
        </w:rPr>
        <w:t xml:space="preserve"> </w:t>
      </w:r>
      <w:r w:rsidR="005051C6" w:rsidRPr="009859F6">
        <w:rPr>
          <w:rFonts w:cs="Arial"/>
          <w:color w:val="000000"/>
          <w:szCs w:val="22"/>
          <w:lang w:val="en-GB"/>
        </w:rPr>
        <w:t>However</w:t>
      </w:r>
      <w:r w:rsidR="00C24046">
        <w:rPr>
          <w:rFonts w:cs="Arial"/>
          <w:color w:val="000000"/>
          <w:szCs w:val="22"/>
          <w:lang w:val="en-GB"/>
        </w:rPr>
        <w:t>,</w:t>
      </w:r>
      <w:r w:rsidR="005051C6" w:rsidRPr="009859F6">
        <w:rPr>
          <w:rFonts w:cs="Arial"/>
          <w:color w:val="000000"/>
          <w:szCs w:val="22"/>
          <w:lang w:val="en-GB"/>
        </w:rPr>
        <w:t xml:space="preserve"> the Council </w:t>
      </w:r>
      <w:r w:rsidR="00295510" w:rsidRPr="009859F6">
        <w:rPr>
          <w:rFonts w:cs="Arial"/>
          <w:color w:val="000000"/>
          <w:szCs w:val="22"/>
          <w:lang w:val="en-GB"/>
        </w:rPr>
        <w:t>understands</w:t>
      </w:r>
      <w:r w:rsidR="005051C6" w:rsidRPr="009859F6">
        <w:rPr>
          <w:rFonts w:cs="Arial"/>
          <w:color w:val="000000"/>
          <w:szCs w:val="22"/>
          <w:lang w:val="en-GB"/>
        </w:rPr>
        <w:t xml:space="preserve"> these identities and conditions as natural, valid, and meriting protection.</w:t>
      </w:r>
    </w:p>
    <w:p w14:paraId="368E6B0A" w14:textId="77777777" w:rsidR="001728FE" w:rsidRPr="00D84D56" w:rsidRDefault="001728FE" w:rsidP="00EF4AA1">
      <w:pPr>
        <w:rPr>
          <w:rFonts w:cs="Arial"/>
          <w:color w:val="000000"/>
          <w:szCs w:val="22"/>
          <w:lang w:val="en-GB"/>
        </w:rPr>
      </w:pPr>
    </w:p>
    <w:p w14:paraId="10AD2BE3" w14:textId="120CA646" w:rsidR="00EF4AA1" w:rsidRPr="00D84D56" w:rsidRDefault="00572399" w:rsidP="00EF4AA1">
      <w:pPr>
        <w:rPr>
          <w:rFonts w:cs="Arial"/>
          <w:color w:val="000000"/>
          <w:szCs w:val="22"/>
          <w:lang w:val="en-GB"/>
        </w:rPr>
      </w:pPr>
      <w:r w:rsidRPr="00D84D56">
        <w:rPr>
          <w:rFonts w:cs="Arial"/>
          <w:color w:val="000000"/>
          <w:szCs w:val="22"/>
          <w:lang w:val="en-GB"/>
        </w:rPr>
        <w:t xml:space="preserve">The Act </w:t>
      </w:r>
      <w:r w:rsidR="001728FE" w:rsidRPr="00D84D56">
        <w:rPr>
          <w:rFonts w:cs="Arial"/>
          <w:color w:val="000000"/>
          <w:szCs w:val="22"/>
          <w:lang w:val="en-GB"/>
        </w:rPr>
        <w:t xml:space="preserve">does </w:t>
      </w:r>
      <w:r w:rsidRPr="00D84D56">
        <w:rPr>
          <w:rFonts w:cs="Arial"/>
          <w:color w:val="000000"/>
          <w:szCs w:val="22"/>
          <w:lang w:val="en-GB"/>
        </w:rPr>
        <w:t>outlaw discrimination on the grounds of gender reassignment</w:t>
      </w:r>
      <w:r w:rsidR="001728FE" w:rsidRPr="00D84D56">
        <w:rPr>
          <w:rFonts w:cs="Arial"/>
          <w:color w:val="000000"/>
          <w:szCs w:val="22"/>
          <w:lang w:val="en-GB"/>
        </w:rPr>
        <w:t xml:space="preserve"> and therefore protects trans people who are not under medical supervision; discrimination by perception to be trans; or by association (</w:t>
      </w:r>
      <w:r w:rsidR="00C953B3">
        <w:rPr>
          <w:rFonts w:cs="Arial"/>
          <w:color w:val="000000"/>
          <w:szCs w:val="22"/>
          <w:lang w:val="en-GB"/>
        </w:rPr>
        <w:t>for example,</w:t>
      </w:r>
      <w:r w:rsidR="001728FE" w:rsidRPr="00D84D56">
        <w:rPr>
          <w:rFonts w:cs="Arial"/>
          <w:color w:val="000000"/>
          <w:szCs w:val="22"/>
          <w:lang w:val="en-GB"/>
        </w:rPr>
        <w:t xml:space="preserve"> a parent of a trans child who is transitioning).</w:t>
      </w:r>
    </w:p>
    <w:p w14:paraId="5E79615B" w14:textId="77777777" w:rsidR="001715E7" w:rsidRPr="00D84D56" w:rsidRDefault="001715E7" w:rsidP="00EF4AA1">
      <w:pPr>
        <w:rPr>
          <w:rFonts w:cs="Arial"/>
          <w:color w:val="000000"/>
          <w:szCs w:val="22"/>
          <w:lang w:val="en-GB"/>
        </w:rPr>
      </w:pPr>
    </w:p>
    <w:p w14:paraId="7198BB3E" w14:textId="77777777" w:rsidR="001715E7" w:rsidRPr="00D84D56" w:rsidRDefault="001715E7" w:rsidP="00EF4AA1">
      <w:pPr>
        <w:rPr>
          <w:rFonts w:cs="Arial"/>
          <w:color w:val="000000"/>
          <w:szCs w:val="22"/>
          <w:lang w:val="en-GB"/>
        </w:rPr>
      </w:pPr>
      <w:r w:rsidRPr="00D84D56">
        <w:rPr>
          <w:rFonts w:cs="Arial"/>
          <w:color w:val="000000"/>
          <w:szCs w:val="22"/>
          <w:lang w:val="en-GB"/>
        </w:rPr>
        <w:t>All employees must report any breaches of this policy, whether by colleagues, clients or other third parties, to the appropriate line manager immediately. Individuals who witness an inappropriate behaviour do not have to identify as gender variant or intersex themselves in order to be offended</w:t>
      </w:r>
      <w:r w:rsidR="0011773C" w:rsidRPr="00D84D56">
        <w:rPr>
          <w:rFonts w:cs="Arial"/>
          <w:color w:val="000000"/>
          <w:szCs w:val="22"/>
          <w:lang w:val="en-GB"/>
        </w:rPr>
        <w:t xml:space="preserve"> and entitled to complain</w:t>
      </w:r>
      <w:r w:rsidRPr="00D84D56">
        <w:rPr>
          <w:rFonts w:cs="Arial"/>
          <w:color w:val="000000"/>
          <w:szCs w:val="22"/>
          <w:lang w:val="en-GB"/>
        </w:rPr>
        <w:t>.</w:t>
      </w:r>
    </w:p>
    <w:p w14:paraId="0B543BE7" w14:textId="77777777" w:rsidR="00EF4AA1" w:rsidRPr="00D84D56" w:rsidRDefault="00EF4AA1" w:rsidP="00EF4AA1">
      <w:pPr>
        <w:rPr>
          <w:rFonts w:cs="Arial"/>
          <w:color w:val="000000"/>
          <w:szCs w:val="22"/>
          <w:lang w:val="en-GB"/>
        </w:rPr>
      </w:pPr>
    </w:p>
    <w:p w14:paraId="398AC27E" w14:textId="77777777" w:rsidR="00EF4AA1" w:rsidRPr="001B6F7F" w:rsidRDefault="00EF4AA1" w:rsidP="001B6F7F">
      <w:pPr>
        <w:pStyle w:val="ListParagraph"/>
        <w:numPr>
          <w:ilvl w:val="0"/>
          <w:numId w:val="36"/>
        </w:numPr>
        <w:ind w:left="360"/>
        <w:rPr>
          <w:b/>
          <w:lang w:val="en-GB"/>
        </w:rPr>
      </w:pPr>
      <w:r w:rsidRPr="001B6F7F">
        <w:rPr>
          <w:b/>
          <w:lang w:val="en-GB"/>
        </w:rPr>
        <w:t>Gender Recognition Act 2004</w:t>
      </w:r>
    </w:p>
    <w:p w14:paraId="1B5430BF" w14:textId="77777777" w:rsidR="00EF4AA1" w:rsidRPr="00D84D56" w:rsidRDefault="00EF4AA1" w:rsidP="00EF4AA1">
      <w:pPr>
        <w:rPr>
          <w:rFonts w:cs="Arial"/>
          <w:color w:val="000000"/>
          <w:szCs w:val="22"/>
          <w:lang w:val="en-GB"/>
        </w:rPr>
      </w:pPr>
      <w:r w:rsidRPr="00D84D56">
        <w:rPr>
          <w:rFonts w:cs="Arial"/>
          <w:color w:val="000000"/>
          <w:szCs w:val="22"/>
          <w:lang w:val="en-GB"/>
        </w:rPr>
        <w:t>The Gender Recognition Act allows trans people to obtain a gender recognition certificate to legally change their gender.</w:t>
      </w:r>
    </w:p>
    <w:p w14:paraId="07DEC21E" w14:textId="77777777" w:rsidR="00EF4AA1" w:rsidRPr="00D84D56" w:rsidRDefault="00EF4AA1" w:rsidP="00EF4AA1">
      <w:pPr>
        <w:rPr>
          <w:rFonts w:cs="Arial"/>
          <w:color w:val="000000"/>
          <w:szCs w:val="22"/>
          <w:lang w:val="en-GB"/>
        </w:rPr>
      </w:pPr>
      <w:r w:rsidRPr="00D84D56">
        <w:rPr>
          <w:rFonts w:cs="Arial"/>
          <w:color w:val="000000"/>
          <w:szCs w:val="22"/>
          <w:lang w:val="en-GB"/>
        </w:rPr>
        <w:tab/>
      </w:r>
    </w:p>
    <w:p w14:paraId="07C9AB41" w14:textId="45C1D442" w:rsidR="00EF4AA1" w:rsidRPr="00D84D56" w:rsidRDefault="00EF4AA1" w:rsidP="00EF4AA1">
      <w:pPr>
        <w:rPr>
          <w:rFonts w:cs="Arial"/>
          <w:color w:val="000000"/>
          <w:szCs w:val="22"/>
          <w:lang w:val="en-GB"/>
        </w:rPr>
      </w:pPr>
      <w:r w:rsidRPr="00D84D56">
        <w:rPr>
          <w:rFonts w:cs="Arial"/>
          <w:color w:val="000000"/>
          <w:szCs w:val="22"/>
          <w:lang w:val="en-GB"/>
        </w:rPr>
        <w:t xml:space="preserve">It is not necessary for the trans person to obtain legal recognition of their expressed gender to be protected by The Equality Act 2010, but the Gender Recognition Act 2004 allows trans people to gain legal recognition of their acquired gender through registering for a gender recognition certificate. A trans person who obtains a gender recognition certificate (GRC) is considered legally to be </w:t>
      </w:r>
      <w:r w:rsidR="00054BCB">
        <w:rPr>
          <w:rFonts w:cs="Arial"/>
          <w:color w:val="000000"/>
          <w:szCs w:val="22"/>
          <w:lang w:val="en-GB"/>
        </w:rPr>
        <w:t>her or his*</w:t>
      </w:r>
      <w:r w:rsidRPr="00D84D56">
        <w:rPr>
          <w:rFonts w:cs="Arial"/>
          <w:color w:val="000000"/>
          <w:szCs w:val="22"/>
          <w:lang w:val="en-GB"/>
        </w:rPr>
        <w:t xml:space="preserve"> acquired gender. This binary approach to gender stems from the current legislation, which is expected to be modernised with the recognition of other gender identities.</w:t>
      </w:r>
    </w:p>
    <w:p w14:paraId="5EBB927C" w14:textId="77777777" w:rsidR="00EF4AA1" w:rsidRPr="00D84D56" w:rsidRDefault="00EF4AA1" w:rsidP="00EF4AA1">
      <w:pPr>
        <w:rPr>
          <w:rFonts w:cs="Arial"/>
          <w:color w:val="000000"/>
          <w:szCs w:val="22"/>
          <w:lang w:val="en-GB"/>
        </w:rPr>
      </w:pPr>
      <w:r w:rsidRPr="00D84D56">
        <w:rPr>
          <w:rFonts w:cs="Arial"/>
          <w:color w:val="000000"/>
          <w:szCs w:val="22"/>
          <w:lang w:val="en-GB"/>
        </w:rPr>
        <w:tab/>
      </w:r>
    </w:p>
    <w:p w14:paraId="5CEF8FE3" w14:textId="77777777" w:rsidR="00EF4AA1" w:rsidRPr="00D84D56" w:rsidRDefault="00EF4AA1" w:rsidP="00EF4AA1">
      <w:pPr>
        <w:rPr>
          <w:rFonts w:cs="Arial"/>
          <w:color w:val="000000"/>
          <w:szCs w:val="22"/>
          <w:lang w:val="en-GB"/>
        </w:rPr>
      </w:pPr>
      <w:r w:rsidRPr="00D84D56">
        <w:rPr>
          <w:rFonts w:cs="Arial"/>
          <w:color w:val="000000"/>
          <w:szCs w:val="22"/>
          <w:lang w:val="en-GB"/>
        </w:rPr>
        <w:t>As a result, an individual holding a GRC may be able to:</w:t>
      </w:r>
    </w:p>
    <w:p w14:paraId="6D6FE66E" w14:textId="77777777" w:rsidR="00EF4AA1" w:rsidRPr="00D84D56" w:rsidRDefault="00EF4AA1" w:rsidP="00EF4AA1">
      <w:pPr>
        <w:numPr>
          <w:ilvl w:val="0"/>
          <w:numId w:val="7"/>
        </w:numPr>
        <w:rPr>
          <w:rFonts w:cs="Arial"/>
          <w:color w:val="000000"/>
          <w:szCs w:val="22"/>
          <w:lang w:val="en-GB"/>
        </w:rPr>
      </w:pPr>
      <w:r w:rsidRPr="00D84D56">
        <w:rPr>
          <w:rFonts w:cs="Arial"/>
          <w:color w:val="000000"/>
          <w:szCs w:val="22"/>
          <w:lang w:val="en-GB"/>
        </w:rPr>
        <w:t>acquire a substitute birth certificate with the acquired gender</w:t>
      </w:r>
    </w:p>
    <w:p w14:paraId="78E80A89" w14:textId="77777777" w:rsidR="00EF4AA1" w:rsidRPr="00D84D56" w:rsidRDefault="00EF4AA1" w:rsidP="00EF4AA1">
      <w:pPr>
        <w:numPr>
          <w:ilvl w:val="0"/>
          <w:numId w:val="7"/>
        </w:numPr>
        <w:rPr>
          <w:rFonts w:cs="Arial"/>
          <w:color w:val="000000"/>
          <w:szCs w:val="22"/>
          <w:lang w:val="en-GB"/>
        </w:rPr>
      </w:pPr>
      <w:r w:rsidRPr="00D84D56">
        <w:rPr>
          <w:rFonts w:cs="Arial"/>
          <w:color w:val="000000"/>
          <w:szCs w:val="22"/>
          <w:lang w:val="en-GB"/>
        </w:rPr>
        <w:t>marry in the new gender or form a civil partnership with someone of the same gender under the Civil Partnership Act, and/ or</w:t>
      </w:r>
    </w:p>
    <w:p w14:paraId="78E91E48" w14:textId="77777777" w:rsidR="00EF4AA1" w:rsidRPr="00D84D56" w:rsidRDefault="00EF4AA1" w:rsidP="00EF4AA1">
      <w:pPr>
        <w:numPr>
          <w:ilvl w:val="0"/>
          <w:numId w:val="7"/>
        </w:numPr>
        <w:rPr>
          <w:rFonts w:cs="Arial"/>
          <w:color w:val="000000"/>
          <w:szCs w:val="22"/>
          <w:lang w:val="en-GB"/>
        </w:rPr>
      </w:pPr>
      <w:r w:rsidRPr="00D84D56">
        <w:rPr>
          <w:rFonts w:cs="Arial"/>
          <w:color w:val="000000"/>
          <w:szCs w:val="22"/>
          <w:lang w:val="en-GB"/>
        </w:rPr>
        <w:t>retire and receive a state pension at the age appropriate to the acquired gender</w:t>
      </w:r>
    </w:p>
    <w:p w14:paraId="223B9B61" w14:textId="77777777" w:rsidR="00EF4AA1" w:rsidRPr="00D84D56" w:rsidRDefault="00EF4AA1" w:rsidP="00EF4AA1">
      <w:pPr>
        <w:rPr>
          <w:rFonts w:cs="Arial"/>
          <w:color w:val="000000"/>
          <w:szCs w:val="22"/>
          <w:lang w:val="en-GB"/>
        </w:rPr>
      </w:pPr>
    </w:p>
    <w:p w14:paraId="63C4AF61" w14:textId="77777777" w:rsidR="00EF4AA1" w:rsidRPr="00D84D56" w:rsidRDefault="00EF4AA1" w:rsidP="00EF4AA1">
      <w:pPr>
        <w:rPr>
          <w:rFonts w:cs="Arial"/>
          <w:color w:val="000000"/>
          <w:szCs w:val="22"/>
          <w:lang w:val="en-GB"/>
        </w:rPr>
      </w:pPr>
      <w:r w:rsidRPr="00D84D56">
        <w:rPr>
          <w:rFonts w:cs="Arial"/>
          <w:color w:val="000000"/>
          <w:szCs w:val="22"/>
          <w:lang w:val="en-GB"/>
        </w:rPr>
        <w:t>The Council should only identify a person's trans status if you have permission to do so. 'Outing' or identifying a person as trans to others without their consent is classed as direct discrimination under the Equality Act 2010 and could result in criminal charges under the Gender Recognition Act 2004.</w:t>
      </w:r>
    </w:p>
    <w:p w14:paraId="0B88FF99" w14:textId="77777777" w:rsidR="00EF4AA1" w:rsidRPr="00D84D56" w:rsidRDefault="00EF4AA1" w:rsidP="00EF4AA1">
      <w:pPr>
        <w:rPr>
          <w:rFonts w:cs="Arial"/>
          <w:color w:val="000000"/>
          <w:szCs w:val="22"/>
          <w:lang w:val="en-GB"/>
        </w:rPr>
      </w:pPr>
      <w:r w:rsidRPr="00D84D56">
        <w:rPr>
          <w:rFonts w:cs="Arial"/>
          <w:color w:val="000000"/>
          <w:szCs w:val="22"/>
          <w:lang w:val="en-GB"/>
        </w:rPr>
        <w:tab/>
      </w:r>
    </w:p>
    <w:p w14:paraId="21C23E84" w14:textId="77777777" w:rsidR="00EF4AA1" w:rsidRPr="00D84D56" w:rsidRDefault="00EF4AA1" w:rsidP="00EF4AA1">
      <w:pPr>
        <w:rPr>
          <w:rFonts w:cs="Arial"/>
          <w:color w:val="000000"/>
          <w:szCs w:val="22"/>
          <w:lang w:val="en-GB"/>
        </w:rPr>
      </w:pPr>
      <w:r w:rsidRPr="00D84D56">
        <w:rPr>
          <w:rFonts w:cs="Arial"/>
          <w:color w:val="000000"/>
          <w:szCs w:val="22"/>
          <w:lang w:val="en-GB"/>
        </w:rPr>
        <w:t xml:space="preserve">All employees must report any breaches of this policy, whether by colleagues, clients or other third parties, to </w:t>
      </w:r>
      <w:r w:rsidR="001715E7" w:rsidRPr="00D84D56">
        <w:rPr>
          <w:rFonts w:cs="Arial"/>
          <w:color w:val="000000"/>
          <w:szCs w:val="22"/>
          <w:lang w:val="en-GB"/>
        </w:rPr>
        <w:t>the appropriate</w:t>
      </w:r>
      <w:r w:rsidRPr="00D84D56">
        <w:rPr>
          <w:rFonts w:cs="Arial"/>
          <w:color w:val="000000"/>
          <w:szCs w:val="22"/>
          <w:lang w:val="en-GB"/>
        </w:rPr>
        <w:t xml:space="preserve"> line manager immediately.</w:t>
      </w:r>
      <w:r w:rsidR="001715E7" w:rsidRPr="00D84D56">
        <w:rPr>
          <w:rFonts w:cs="Arial"/>
          <w:color w:val="000000"/>
          <w:szCs w:val="22"/>
          <w:lang w:val="en-GB"/>
        </w:rPr>
        <w:t xml:space="preserve"> Individuals who witness an inappropriate behaviour do not have to identify as gender variant or intersex themselves in order to be offended</w:t>
      </w:r>
      <w:r w:rsidR="0011773C" w:rsidRPr="00D84D56">
        <w:rPr>
          <w:rFonts w:cs="Arial"/>
          <w:color w:val="000000"/>
          <w:szCs w:val="22"/>
          <w:lang w:val="en-GB"/>
        </w:rPr>
        <w:t xml:space="preserve"> and entitled to complain</w:t>
      </w:r>
      <w:r w:rsidR="001715E7" w:rsidRPr="00D84D56">
        <w:rPr>
          <w:rFonts w:cs="Arial"/>
          <w:color w:val="000000"/>
          <w:szCs w:val="22"/>
          <w:lang w:val="en-GB"/>
        </w:rPr>
        <w:t>.</w:t>
      </w:r>
    </w:p>
    <w:p w14:paraId="33E50EB1" w14:textId="77777777" w:rsidR="00EF4AA1" w:rsidRPr="00D84D56" w:rsidRDefault="00EF4AA1" w:rsidP="00EF4AA1">
      <w:pPr>
        <w:rPr>
          <w:rFonts w:cs="Arial"/>
          <w:szCs w:val="22"/>
          <w:lang w:val="en-GB"/>
        </w:rPr>
      </w:pPr>
    </w:p>
    <w:p w14:paraId="757173BD" w14:textId="77777777" w:rsidR="00EF4AA1" w:rsidRPr="00D84D56" w:rsidRDefault="00EF4AA1" w:rsidP="00EF4AA1">
      <w:pPr>
        <w:rPr>
          <w:rStyle w:val="normaltextrun"/>
          <w:b/>
          <w:lang w:val="en-GB"/>
        </w:rPr>
      </w:pPr>
      <w:r w:rsidRPr="00D84D56">
        <w:rPr>
          <w:rStyle w:val="normaltextrun"/>
          <w:b/>
          <w:lang w:val="en-GB"/>
        </w:rPr>
        <w:t>Reform of Gender Recognition Act:</w:t>
      </w:r>
    </w:p>
    <w:p w14:paraId="1C7218E4" w14:textId="77777777" w:rsidR="00EF4AA1" w:rsidRPr="00D84D56" w:rsidRDefault="00EF4AA1" w:rsidP="00EF4AA1">
      <w:pPr>
        <w:rPr>
          <w:rFonts w:cs="Arial"/>
          <w:szCs w:val="22"/>
          <w:lang w:val="en-GB"/>
        </w:rPr>
      </w:pPr>
      <w:r w:rsidRPr="00D84D56">
        <w:rPr>
          <w:rStyle w:val="normaltextrun"/>
          <w:lang w:val="en-GB"/>
        </w:rPr>
        <w:t>The UK government, with a consultation that closed in October 2018, has been seeking to reform the Gender Recognition Act with a view to better serve those trans and non-binary individuals who wish to use it. No changes to the Equality Act 2010 were proposed. This reform is expected to modernise and streamline the transition process and extend protections to non-binary people by recognising gender identity in its complexity and fluidity.</w:t>
      </w:r>
    </w:p>
    <w:p w14:paraId="6031A6C9" w14:textId="77777777" w:rsidR="00EF4AA1" w:rsidRPr="00D84D56" w:rsidRDefault="00EF4AA1" w:rsidP="00EF4AA1">
      <w:pPr>
        <w:rPr>
          <w:rFonts w:cs="Arial"/>
          <w:color w:val="000000"/>
          <w:szCs w:val="22"/>
          <w:lang w:val="en-GB"/>
        </w:rPr>
      </w:pPr>
    </w:p>
    <w:p w14:paraId="6BD8638E" w14:textId="77777777" w:rsidR="00EF4AA1" w:rsidRPr="001B6F7F" w:rsidRDefault="00EF4AA1" w:rsidP="001B6F7F">
      <w:pPr>
        <w:pStyle w:val="ListParagraph"/>
        <w:numPr>
          <w:ilvl w:val="0"/>
          <w:numId w:val="36"/>
        </w:numPr>
        <w:ind w:left="360"/>
        <w:rPr>
          <w:b/>
          <w:lang w:val="en-GB"/>
        </w:rPr>
      </w:pPr>
      <w:r w:rsidRPr="001B6F7F">
        <w:rPr>
          <w:b/>
          <w:lang w:val="en-GB"/>
        </w:rPr>
        <w:t>Data Protection Act 2018</w:t>
      </w:r>
    </w:p>
    <w:p w14:paraId="6770260F" w14:textId="77777777" w:rsidR="00741686" w:rsidRPr="00D84D56" w:rsidRDefault="00EF4AA1" w:rsidP="00EF4AA1">
      <w:pPr>
        <w:pStyle w:val="ListParagraph"/>
        <w:ind w:left="0"/>
        <w:rPr>
          <w:rFonts w:cs="Arial"/>
          <w:color w:val="000000"/>
          <w:szCs w:val="22"/>
          <w:lang w:val="en-GB"/>
        </w:rPr>
      </w:pPr>
      <w:r w:rsidRPr="00D84D56">
        <w:rPr>
          <w:rFonts w:cs="Arial"/>
          <w:color w:val="000000"/>
          <w:szCs w:val="22"/>
          <w:lang w:val="en-GB"/>
        </w:rPr>
        <w:t>The Data Protection Act respects the rights of individuals when processing their personal information. This is achieved by informing employees about the processing of personal information pertaining to them and by following good data management practices in maintaining and keeping confidential personal data.</w:t>
      </w:r>
    </w:p>
    <w:p w14:paraId="547107CE" w14:textId="77777777" w:rsidR="00741686" w:rsidRPr="00D84D56" w:rsidRDefault="00741686" w:rsidP="00741686">
      <w:pPr>
        <w:pStyle w:val="ListParagraph"/>
        <w:ind w:left="0"/>
        <w:rPr>
          <w:szCs w:val="22"/>
          <w:lang w:val="en-GB" w:eastAsia="en-US"/>
        </w:rPr>
      </w:pPr>
    </w:p>
    <w:p w14:paraId="59B5D496" w14:textId="77777777" w:rsidR="00741686" w:rsidRPr="00D84D56" w:rsidRDefault="00741686" w:rsidP="00741686">
      <w:pPr>
        <w:pStyle w:val="ListParagraph"/>
        <w:ind w:left="0"/>
        <w:rPr>
          <w:szCs w:val="22"/>
          <w:lang w:val="en-GB" w:eastAsia="en-US"/>
        </w:rPr>
      </w:pPr>
      <w:r w:rsidRPr="00D84D56">
        <w:rPr>
          <w:szCs w:val="22"/>
          <w:lang w:val="en-GB" w:eastAsia="en-US"/>
        </w:rPr>
        <w:t xml:space="preserve">More information around the individuals’ rights, the lawful bases of processing personal data, and the process in the event of a data breach can be found in the Council’s </w:t>
      </w:r>
      <w:hyperlink r:id="rId32" w:history="1">
        <w:r w:rsidRPr="00D84D56">
          <w:rPr>
            <w:rStyle w:val="Hyperlink"/>
            <w:szCs w:val="22"/>
            <w:lang w:val="en-GB" w:eastAsia="en-US"/>
          </w:rPr>
          <w:t>Data Protection intranet page</w:t>
        </w:r>
      </w:hyperlink>
      <w:r w:rsidRPr="00D84D56">
        <w:rPr>
          <w:szCs w:val="22"/>
          <w:lang w:val="en-GB" w:eastAsia="en-US"/>
        </w:rPr>
        <w:t>.</w:t>
      </w:r>
    </w:p>
    <w:p w14:paraId="2FA95F87" w14:textId="77777777" w:rsidR="00741686" w:rsidRPr="00D84D56" w:rsidRDefault="00741686" w:rsidP="00741686">
      <w:pPr>
        <w:pStyle w:val="ListParagraph"/>
        <w:ind w:left="0"/>
        <w:rPr>
          <w:szCs w:val="22"/>
          <w:lang w:val="en-GB" w:eastAsia="en-US"/>
        </w:rPr>
      </w:pPr>
    </w:p>
    <w:p w14:paraId="0FC27A24" w14:textId="054B64F4" w:rsidR="003144B6" w:rsidRPr="00D84D56" w:rsidRDefault="00741686" w:rsidP="00EF4AA1">
      <w:pPr>
        <w:pStyle w:val="ListParagraph"/>
        <w:ind w:left="0"/>
        <w:rPr>
          <w:rFonts w:cs="Arial"/>
          <w:color w:val="000000"/>
          <w:szCs w:val="22"/>
          <w:lang w:val="en-GB"/>
        </w:rPr>
      </w:pPr>
      <w:r w:rsidRPr="00D84D56">
        <w:rPr>
          <w:szCs w:val="22"/>
          <w:lang w:val="en-GB" w:eastAsia="en-US"/>
        </w:rPr>
        <w:t>Information relating to an individual’s trans status and gender reassignment constitute ‘sensitive data’ (“special category data”), therefore this information cannot be recorded or passed on to another person unless the individual gives their explicit written consent to this processing.</w:t>
      </w:r>
      <w:r w:rsidR="003144B6" w:rsidRPr="00D84D56">
        <w:rPr>
          <w:szCs w:val="22"/>
          <w:lang w:val="en-GB" w:eastAsia="en-US"/>
        </w:rPr>
        <w:t xml:space="preserve"> </w:t>
      </w:r>
      <w:r w:rsidR="003144B6" w:rsidRPr="00D84D56">
        <w:rPr>
          <w:rFonts w:cs="Arial"/>
          <w:color w:val="000000"/>
          <w:szCs w:val="22"/>
          <w:lang w:val="en-GB"/>
        </w:rPr>
        <w:t xml:space="preserve">Care must also be taken in relation to proxies to gender, </w:t>
      </w:r>
      <w:r w:rsidR="009859F6">
        <w:rPr>
          <w:rFonts w:cs="Arial"/>
          <w:color w:val="000000"/>
          <w:szCs w:val="22"/>
          <w:lang w:val="en-GB"/>
        </w:rPr>
        <w:t xml:space="preserve">for example, </w:t>
      </w:r>
      <w:r w:rsidR="003144B6" w:rsidRPr="00D84D56">
        <w:rPr>
          <w:rFonts w:cs="Arial"/>
          <w:color w:val="000000"/>
          <w:szCs w:val="22"/>
          <w:lang w:val="en-GB"/>
        </w:rPr>
        <w:t>binary gender titles.</w:t>
      </w:r>
    </w:p>
    <w:p w14:paraId="32D45E1E" w14:textId="77777777" w:rsidR="003144B6" w:rsidRPr="00D84D56" w:rsidRDefault="003144B6" w:rsidP="00EF4AA1">
      <w:pPr>
        <w:pStyle w:val="ListParagraph"/>
        <w:ind w:left="0"/>
        <w:rPr>
          <w:rFonts w:cs="Arial"/>
          <w:color w:val="000000"/>
          <w:szCs w:val="22"/>
          <w:lang w:val="en-GB"/>
        </w:rPr>
      </w:pPr>
    </w:p>
    <w:p w14:paraId="182B70BB" w14:textId="77777777" w:rsidR="00EF4AA1" w:rsidRPr="00D84D56" w:rsidRDefault="00EF4AA1" w:rsidP="00EF4AA1">
      <w:pPr>
        <w:pStyle w:val="ListParagraph"/>
        <w:ind w:left="0"/>
        <w:rPr>
          <w:szCs w:val="22"/>
          <w:lang w:val="en-GB" w:eastAsia="en-US"/>
        </w:rPr>
      </w:pPr>
      <w:r w:rsidRPr="00D84D56">
        <w:rPr>
          <w:rFonts w:cs="Arial"/>
          <w:color w:val="000000"/>
          <w:szCs w:val="22"/>
          <w:lang w:val="en-GB"/>
        </w:rPr>
        <w:t>LBWF must discuss and agree any communication regarding an employee’s transition with them before disclosing to any third party, internal or external, to the Council. Recording the sighting of or disclosure of the fact that an employee has obtained a gender recognition certificate is a criminal offence.</w:t>
      </w:r>
    </w:p>
    <w:p w14:paraId="55906284" w14:textId="77777777" w:rsidR="00EF4AA1" w:rsidRPr="00D84D56" w:rsidRDefault="00EF4AA1" w:rsidP="00EF4AA1">
      <w:pPr>
        <w:pStyle w:val="ListParagraph"/>
        <w:ind w:left="0"/>
        <w:rPr>
          <w:szCs w:val="22"/>
          <w:lang w:val="en-GB" w:eastAsia="en-US"/>
        </w:rPr>
      </w:pPr>
    </w:p>
    <w:p w14:paraId="1F203EB7" w14:textId="77777777" w:rsidR="00EF4AA1" w:rsidRPr="001B6F7F" w:rsidRDefault="00EF4AA1" w:rsidP="001B6F7F">
      <w:pPr>
        <w:pStyle w:val="ListParagraph"/>
        <w:numPr>
          <w:ilvl w:val="0"/>
          <w:numId w:val="36"/>
        </w:numPr>
        <w:ind w:left="360"/>
        <w:rPr>
          <w:b/>
          <w:lang w:val="en-GB"/>
        </w:rPr>
      </w:pPr>
      <w:r w:rsidRPr="001B6F7F">
        <w:rPr>
          <w:b/>
          <w:lang w:val="en-GB"/>
        </w:rPr>
        <w:t>Human Rights Act 1998</w:t>
      </w:r>
    </w:p>
    <w:p w14:paraId="3312C760" w14:textId="77777777" w:rsidR="00A15680" w:rsidRPr="00D84D56" w:rsidRDefault="00EF4AA1" w:rsidP="00EF4AA1">
      <w:pPr>
        <w:rPr>
          <w:rFonts w:cs="Arial"/>
          <w:color w:val="000000"/>
          <w:szCs w:val="22"/>
          <w:lang w:val="en-GB"/>
        </w:rPr>
      </w:pPr>
      <w:r w:rsidRPr="00D84D56">
        <w:rPr>
          <w:rFonts w:cs="Arial"/>
          <w:color w:val="000000"/>
          <w:szCs w:val="22"/>
          <w:lang w:val="en-GB"/>
        </w:rPr>
        <w:t>The Human Rights Act allows you to defend your rights and places a responsibility on public bodies to treat everyone equally, with fairness, dignity and respect. Trans</w:t>
      </w:r>
      <w:r w:rsidR="00A15680" w:rsidRPr="00D84D56">
        <w:rPr>
          <w:rFonts w:cs="Arial"/>
          <w:color w:val="000000"/>
          <w:szCs w:val="22"/>
          <w:lang w:val="en-GB"/>
        </w:rPr>
        <w:t>, non-binary, or gender fluid</w:t>
      </w:r>
      <w:r w:rsidRPr="00D84D56">
        <w:rPr>
          <w:rFonts w:cs="Arial"/>
          <w:color w:val="000000"/>
          <w:szCs w:val="22"/>
          <w:lang w:val="en-GB"/>
        </w:rPr>
        <w:t xml:space="preserve"> employees </w:t>
      </w:r>
      <w:r w:rsidR="00A15680" w:rsidRPr="00D84D56">
        <w:rPr>
          <w:rFonts w:cs="Arial"/>
          <w:color w:val="000000"/>
          <w:szCs w:val="22"/>
          <w:lang w:val="en-GB"/>
        </w:rPr>
        <w:t>must</w:t>
      </w:r>
      <w:r w:rsidRPr="00D84D56">
        <w:rPr>
          <w:rFonts w:cs="Arial"/>
          <w:color w:val="000000"/>
          <w:szCs w:val="22"/>
          <w:lang w:val="en-GB"/>
        </w:rPr>
        <w:t xml:space="preserve"> not experience degrading treatment from others and should be free to express their gender identity. </w:t>
      </w:r>
      <w:r w:rsidR="00A15680" w:rsidRPr="00D84D56">
        <w:rPr>
          <w:rFonts w:cs="Arial"/>
          <w:color w:val="000000"/>
          <w:szCs w:val="22"/>
          <w:lang w:val="en-GB"/>
        </w:rPr>
        <w:t>The same applies to intersex people.</w:t>
      </w:r>
    </w:p>
    <w:p w14:paraId="72777FFE" w14:textId="77777777" w:rsidR="00A15680" w:rsidRPr="00D84D56" w:rsidRDefault="00A15680" w:rsidP="00EF4AA1">
      <w:pPr>
        <w:rPr>
          <w:rFonts w:cs="Arial"/>
          <w:color w:val="000000"/>
          <w:szCs w:val="22"/>
          <w:lang w:val="en-GB"/>
        </w:rPr>
      </w:pPr>
    </w:p>
    <w:p w14:paraId="6D763678" w14:textId="77777777" w:rsidR="00EF4AA1" w:rsidRPr="00D84D56" w:rsidRDefault="00EF4AA1" w:rsidP="00EF4AA1">
      <w:pPr>
        <w:rPr>
          <w:lang w:val="en-GB" w:eastAsia="en-US"/>
        </w:rPr>
      </w:pPr>
      <w:r w:rsidRPr="00D84D56">
        <w:rPr>
          <w:rFonts w:cs="Arial"/>
          <w:color w:val="000000"/>
          <w:szCs w:val="22"/>
          <w:lang w:val="en-GB"/>
        </w:rPr>
        <w:t>LBWF need to ensure the principles of fairness, respect, equality, dignity and autonomy underpinned by the Act are applied to everyone.</w:t>
      </w:r>
    </w:p>
    <w:p w14:paraId="6B149BE4" w14:textId="77777777" w:rsidR="00EF4AA1" w:rsidRPr="00D84D56" w:rsidRDefault="00EF4AA1" w:rsidP="00EF4AA1">
      <w:pPr>
        <w:rPr>
          <w:lang w:val="en-GB" w:eastAsia="en-US"/>
        </w:rPr>
      </w:pPr>
    </w:p>
    <w:p w14:paraId="10AD753D" w14:textId="77777777" w:rsidR="00EF4AA1" w:rsidRPr="001B6F7F" w:rsidRDefault="00EF4AA1" w:rsidP="001B6F7F">
      <w:pPr>
        <w:pStyle w:val="ListParagraph"/>
        <w:numPr>
          <w:ilvl w:val="0"/>
          <w:numId w:val="36"/>
        </w:numPr>
        <w:ind w:left="360"/>
        <w:rPr>
          <w:b/>
          <w:lang w:val="en-GB"/>
        </w:rPr>
      </w:pPr>
      <w:r w:rsidRPr="001B6F7F">
        <w:rPr>
          <w:b/>
          <w:lang w:val="en-GB"/>
        </w:rPr>
        <w:t>Criminal Justice Act 2003</w:t>
      </w:r>
    </w:p>
    <w:p w14:paraId="69775EED" w14:textId="4CE7646B" w:rsidR="00EF4AA1" w:rsidRPr="00D84D56" w:rsidRDefault="00EF4AA1" w:rsidP="00EF4AA1">
      <w:pPr>
        <w:rPr>
          <w:lang w:val="en-GB" w:eastAsia="en-US"/>
        </w:rPr>
      </w:pPr>
      <w:r w:rsidRPr="00D84D56">
        <w:rPr>
          <w:lang w:val="en-GB" w:eastAsia="en-US"/>
        </w:rPr>
        <w:t>Under the above piece of legislation (as amended by the Legal Aid, Sentencing and Punishment of Offenders Act 2012), offences committed against a person due to their being or being perceived to be trans (</w:t>
      </w:r>
      <w:r w:rsidR="00C953B3">
        <w:rPr>
          <w:lang w:val="en-GB" w:eastAsia="en-US"/>
        </w:rPr>
        <w:t xml:space="preserve">for example, </w:t>
      </w:r>
      <w:r w:rsidRPr="00D84D56">
        <w:rPr>
          <w:lang w:val="en-GB" w:eastAsia="en-US"/>
        </w:rPr>
        <w:t>physical attacks, verbal abuse, domestic abuse, harassment, damage to property, bullying or graffiti) may be treated as hate crimes and have the respective sentences increased as a result.</w:t>
      </w:r>
    </w:p>
    <w:p w14:paraId="2381AC06" w14:textId="77777777" w:rsidR="002D68F0" w:rsidRPr="00D84D56" w:rsidRDefault="00EF4AA1" w:rsidP="00EF4AA1">
      <w:pPr>
        <w:pStyle w:val="Heading1"/>
        <w:numPr>
          <w:ilvl w:val="0"/>
          <w:numId w:val="0"/>
        </w:numPr>
        <w:ind w:left="-207" w:firstLine="207"/>
        <w:rPr>
          <w:lang w:val="en-GB"/>
        </w:rPr>
      </w:pPr>
      <w:bookmarkStart w:id="16" w:name="_Appendix_2:_Gender"/>
      <w:bookmarkEnd w:id="16"/>
      <w:r w:rsidRPr="00D84D56">
        <w:rPr>
          <w:lang w:val="en-GB"/>
        </w:rPr>
        <w:br w:type="page"/>
      </w:r>
      <w:bookmarkStart w:id="17" w:name="_Toc19273744"/>
      <w:r w:rsidR="002D68F0" w:rsidRPr="00D84D56">
        <w:rPr>
          <w:lang w:val="en-GB"/>
        </w:rPr>
        <w:t xml:space="preserve">Appendix </w:t>
      </w:r>
      <w:r w:rsidRPr="00D84D56">
        <w:rPr>
          <w:lang w:val="en-GB"/>
        </w:rPr>
        <w:t>2</w:t>
      </w:r>
      <w:r w:rsidR="00DD5FB8" w:rsidRPr="00D84D56">
        <w:rPr>
          <w:lang w:val="en-GB"/>
        </w:rPr>
        <w:t xml:space="preserve">: </w:t>
      </w:r>
      <w:r w:rsidR="00B76BA5" w:rsidRPr="00D84D56">
        <w:rPr>
          <w:lang w:val="en-GB"/>
        </w:rPr>
        <w:t xml:space="preserve">Gender </w:t>
      </w:r>
      <w:r w:rsidR="00757A48" w:rsidRPr="00D84D56">
        <w:rPr>
          <w:lang w:val="en-GB"/>
        </w:rPr>
        <w:t>I</w:t>
      </w:r>
      <w:r w:rsidR="00B76BA5" w:rsidRPr="00D84D56">
        <w:rPr>
          <w:lang w:val="en-GB"/>
        </w:rPr>
        <w:t xml:space="preserve">dentity </w:t>
      </w:r>
      <w:r w:rsidR="007448E9" w:rsidRPr="00D84D56">
        <w:rPr>
          <w:lang w:val="en-GB"/>
        </w:rPr>
        <w:t xml:space="preserve">and Expression </w:t>
      </w:r>
      <w:r w:rsidR="00B76BA5" w:rsidRPr="00D84D56">
        <w:rPr>
          <w:lang w:val="en-GB"/>
        </w:rPr>
        <w:t>and Intersex</w:t>
      </w:r>
      <w:r w:rsidR="00DD5FB8" w:rsidRPr="00D84D56">
        <w:rPr>
          <w:lang w:val="en-GB"/>
        </w:rPr>
        <w:t xml:space="preserve"> terminology</w:t>
      </w:r>
      <w:bookmarkEnd w:id="17"/>
    </w:p>
    <w:p w14:paraId="40B13AAC" w14:textId="77777777" w:rsidR="00A77020" w:rsidRPr="00D84D56" w:rsidRDefault="003835C7" w:rsidP="00065239">
      <w:pPr>
        <w:rPr>
          <w:rFonts w:cs="Arial"/>
          <w:lang w:val="en-GB"/>
        </w:rPr>
      </w:pPr>
      <w:r w:rsidRPr="00D84D56">
        <w:rPr>
          <w:rFonts w:cs="Arial"/>
          <w:lang w:val="en-GB"/>
        </w:rPr>
        <w:t xml:space="preserve"> </w:t>
      </w:r>
    </w:p>
    <w:p w14:paraId="6A249FD0" w14:textId="17AB9497" w:rsidR="00015355" w:rsidRPr="00D84D56" w:rsidRDefault="00015355" w:rsidP="00015355">
      <w:pPr>
        <w:rPr>
          <w:rFonts w:cs="Arial"/>
          <w:lang w:val="en-GB"/>
        </w:rPr>
      </w:pPr>
      <w:r w:rsidRPr="00D84D56">
        <w:rPr>
          <w:rFonts w:cs="Arial"/>
          <w:lang w:val="en-GB"/>
        </w:rPr>
        <w:t>Some of these definitions are open to debate especially among those to whom these definitions may be applied.</w:t>
      </w:r>
      <w:r w:rsidR="000C0802">
        <w:rPr>
          <w:rFonts w:cs="Arial"/>
          <w:lang w:val="en-GB"/>
        </w:rPr>
        <w:t xml:space="preserve"> </w:t>
      </w:r>
      <w:r w:rsidRPr="00D84D56">
        <w:rPr>
          <w:rFonts w:cs="Arial"/>
          <w:lang w:val="en-GB"/>
        </w:rPr>
        <w:t xml:space="preserve">This reflects the fluidity of sexual and gender identities and the importance that marginalised or excluded groups </w:t>
      </w:r>
      <w:r w:rsidR="000C0802">
        <w:rPr>
          <w:rFonts w:cs="Arial"/>
          <w:lang w:val="en-GB"/>
        </w:rPr>
        <w:t>are centred in</w:t>
      </w:r>
      <w:r w:rsidRPr="00D84D56">
        <w:rPr>
          <w:rFonts w:cs="Arial"/>
          <w:lang w:val="en-GB"/>
        </w:rPr>
        <w:t xml:space="preserve"> the process of self-definition and redefinition.</w:t>
      </w:r>
    </w:p>
    <w:p w14:paraId="1A13EBC5" w14:textId="77777777" w:rsidR="00015355" w:rsidRPr="00D84D56" w:rsidRDefault="00015355" w:rsidP="00015355">
      <w:pPr>
        <w:rPr>
          <w:rFonts w:cs="Arial"/>
          <w:lang w:val="en-GB"/>
        </w:rPr>
      </w:pPr>
    </w:p>
    <w:p w14:paraId="0948AC0D" w14:textId="77777777" w:rsidR="00AA5992" w:rsidRPr="00D84D56" w:rsidRDefault="00AA5992" w:rsidP="00B92630">
      <w:pPr>
        <w:numPr>
          <w:ilvl w:val="0"/>
          <w:numId w:val="16"/>
        </w:numPr>
        <w:rPr>
          <w:rFonts w:cs="Arial"/>
          <w:b/>
          <w:lang w:val="en-GB"/>
        </w:rPr>
        <w:sectPr w:rsidR="00AA5992" w:rsidRPr="00D84D56" w:rsidSect="006A22E8">
          <w:headerReference w:type="even" r:id="rId33"/>
          <w:headerReference w:type="default" r:id="rId34"/>
          <w:footerReference w:type="even" r:id="rId35"/>
          <w:footerReference w:type="default" r:id="rId36"/>
          <w:headerReference w:type="first" r:id="rId37"/>
          <w:pgSz w:w="12240" w:h="15840"/>
          <w:pgMar w:top="1134" w:right="1134" w:bottom="1134" w:left="1134" w:header="720" w:footer="720" w:gutter="0"/>
          <w:cols w:space="720"/>
          <w:noEndnote/>
        </w:sectPr>
      </w:pPr>
    </w:p>
    <w:p w14:paraId="43FD2D23" w14:textId="77777777" w:rsidR="00B92630" w:rsidRPr="00D84D56" w:rsidRDefault="00B92630" w:rsidP="0031507D">
      <w:pPr>
        <w:rPr>
          <w:rFonts w:cs="Arial"/>
          <w:b/>
          <w:lang w:val="en-GB"/>
        </w:rPr>
      </w:pPr>
      <w:r w:rsidRPr="00D84D56">
        <w:rPr>
          <w:rFonts w:cs="Arial"/>
          <w:b/>
          <w:lang w:val="en-GB"/>
        </w:rPr>
        <w:t>Acquired gender</w:t>
      </w:r>
      <w:r w:rsidRPr="00D84D56">
        <w:rPr>
          <w:rFonts w:cs="Arial"/>
          <w:lang w:val="en-GB"/>
        </w:rPr>
        <w:t>: This is the gender in which a person lives and presents to the world. This is not the gender that they were registered with at birth, however it is the gender in which they should be treated.</w:t>
      </w:r>
      <w:r w:rsidR="00E168E6" w:rsidRPr="00D84D56">
        <w:rPr>
          <w:rFonts w:cs="Arial"/>
          <w:lang w:val="en-GB"/>
        </w:rPr>
        <w:t xml:space="preserve"> This is the term used in the Gender Recognition Act, and therefore is more appropriately used to describe the acquisition of a Gender Recognition Certificate and new Birth Certificate. See also </w:t>
      </w:r>
      <w:r w:rsidR="00E168E6" w:rsidRPr="00D84D56">
        <w:rPr>
          <w:rFonts w:cs="Arial"/>
          <w:b/>
          <w:lang w:val="en-GB"/>
        </w:rPr>
        <w:t>affirmed gender</w:t>
      </w:r>
      <w:r w:rsidR="00E168E6" w:rsidRPr="00D84D56">
        <w:rPr>
          <w:rFonts w:cs="Arial"/>
          <w:lang w:val="en-GB"/>
        </w:rPr>
        <w:t>.</w:t>
      </w:r>
    </w:p>
    <w:p w14:paraId="62B97D51" w14:textId="77777777" w:rsidR="00B92630" w:rsidRPr="00D84D56" w:rsidRDefault="00B92630" w:rsidP="0031507D">
      <w:pPr>
        <w:spacing w:before="160"/>
        <w:rPr>
          <w:rFonts w:cs="Arial"/>
          <w:lang w:val="en-GB"/>
        </w:rPr>
      </w:pPr>
      <w:r w:rsidRPr="00D84D56">
        <w:rPr>
          <w:rFonts w:cs="Arial"/>
          <w:b/>
          <w:lang w:val="en-GB"/>
        </w:rPr>
        <w:t>Affirmed gender</w:t>
      </w:r>
      <w:r w:rsidRPr="00D84D56">
        <w:rPr>
          <w:rFonts w:cs="Arial"/>
          <w:lang w:val="en-GB"/>
        </w:rPr>
        <w:t xml:space="preserve">: </w:t>
      </w:r>
      <w:r w:rsidR="00E803CA" w:rsidRPr="00D84D56">
        <w:rPr>
          <w:rFonts w:cs="Arial"/>
          <w:lang w:val="en-GB"/>
        </w:rPr>
        <w:t>T</w:t>
      </w:r>
      <w:r w:rsidRPr="00D84D56">
        <w:rPr>
          <w:rFonts w:cs="Arial"/>
          <w:lang w:val="en-GB"/>
        </w:rPr>
        <w:t xml:space="preserve">his term may be used when a person has transitioned but </w:t>
      </w:r>
      <w:r w:rsidR="00E803CA" w:rsidRPr="00D84D56">
        <w:rPr>
          <w:rFonts w:cs="Arial"/>
          <w:lang w:val="en-GB"/>
        </w:rPr>
        <w:t xml:space="preserve">may have </w:t>
      </w:r>
      <w:r w:rsidRPr="00D84D56">
        <w:rPr>
          <w:rFonts w:cs="Arial"/>
          <w:lang w:val="en-GB"/>
        </w:rPr>
        <w:t>not appl</w:t>
      </w:r>
      <w:r w:rsidR="00E803CA" w:rsidRPr="00D84D56">
        <w:rPr>
          <w:rFonts w:cs="Arial"/>
          <w:lang w:val="en-GB"/>
        </w:rPr>
        <w:t>ied</w:t>
      </w:r>
      <w:r w:rsidRPr="00D84D56">
        <w:rPr>
          <w:rFonts w:cs="Arial"/>
          <w:lang w:val="en-GB"/>
        </w:rPr>
        <w:t xml:space="preserve"> for a GRC.</w:t>
      </w:r>
      <w:r w:rsidR="00E803CA" w:rsidRPr="00D84D56">
        <w:rPr>
          <w:lang w:val="en-GB"/>
        </w:rPr>
        <w:t xml:space="preserve"> See also </w:t>
      </w:r>
      <w:r w:rsidR="00E803CA" w:rsidRPr="00D84D56">
        <w:rPr>
          <w:b/>
          <w:lang w:val="en-GB"/>
        </w:rPr>
        <w:t>gender affirmation</w:t>
      </w:r>
      <w:r w:rsidR="00E803CA" w:rsidRPr="00D84D56">
        <w:rPr>
          <w:lang w:val="en-GB"/>
        </w:rPr>
        <w:t>.</w:t>
      </w:r>
    </w:p>
    <w:p w14:paraId="010971F5" w14:textId="77777777" w:rsidR="00B92630" w:rsidRPr="00D84D56" w:rsidRDefault="00B92630" w:rsidP="0031507D">
      <w:pPr>
        <w:spacing w:before="160"/>
        <w:rPr>
          <w:rFonts w:cs="Arial"/>
          <w:lang w:val="en-GB"/>
        </w:rPr>
      </w:pPr>
      <w:r w:rsidRPr="00D84D56">
        <w:rPr>
          <w:rFonts w:cs="Arial"/>
          <w:b/>
          <w:lang w:val="en-GB"/>
        </w:rPr>
        <w:t>Androgyn</w:t>
      </w:r>
      <w:r w:rsidR="00E803CA" w:rsidRPr="00D84D56">
        <w:rPr>
          <w:rFonts w:cs="Arial"/>
          <w:b/>
          <w:lang w:val="en-GB"/>
        </w:rPr>
        <w:t>ous</w:t>
      </w:r>
      <w:r w:rsidRPr="00D84D56">
        <w:rPr>
          <w:rFonts w:cs="Arial"/>
          <w:lang w:val="en-GB"/>
        </w:rPr>
        <w:t xml:space="preserve">: </w:t>
      </w:r>
      <w:r w:rsidR="00E803CA" w:rsidRPr="00D84D56">
        <w:rPr>
          <w:rFonts w:cs="Arial"/>
          <w:lang w:val="en-GB"/>
        </w:rPr>
        <w:t>S</w:t>
      </w:r>
      <w:r w:rsidRPr="00D84D56">
        <w:rPr>
          <w:rFonts w:cs="Arial"/>
          <w:lang w:val="en-GB"/>
        </w:rPr>
        <w:t xml:space="preserve">omeone who </w:t>
      </w:r>
      <w:r w:rsidR="00E803CA" w:rsidRPr="00D84D56">
        <w:rPr>
          <w:rFonts w:cs="Arial"/>
          <w:lang w:val="en-GB"/>
        </w:rPr>
        <w:t xml:space="preserve">may </w:t>
      </w:r>
      <w:r w:rsidRPr="00D84D56">
        <w:rPr>
          <w:rFonts w:cs="Arial"/>
          <w:lang w:val="en-GB"/>
        </w:rPr>
        <w:t>possess traits that are simultaneously feminine and masculine or neither.</w:t>
      </w:r>
      <w:r w:rsidR="00E803CA" w:rsidRPr="00D84D56">
        <w:rPr>
          <w:rFonts w:cs="Arial"/>
          <w:lang w:val="en-GB"/>
        </w:rPr>
        <w:t xml:space="preserve"> See also </w:t>
      </w:r>
      <w:r w:rsidR="00E803CA" w:rsidRPr="00D84D56">
        <w:rPr>
          <w:rFonts w:cs="Arial"/>
          <w:b/>
          <w:lang w:val="en-GB"/>
        </w:rPr>
        <w:t>gender non-binary</w:t>
      </w:r>
      <w:r w:rsidR="00E803CA" w:rsidRPr="00D84D56">
        <w:rPr>
          <w:rFonts w:cs="Arial"/>
          <w:lang w:val="en-GB"/>
        </w:rPr>
        <w:t>.</w:t>
      </w:r>
      <w:r w:rsidR="00AB1A07" w:rsidRPr="00D84D56">
        <w:rPr>
          <w:rFonts w:cs="Arial"/>
          <w:lang w:val="en-GB"/>
        </w:rPr>
        <w:t xml:space="preserve"> See also </w:t>
      </w:r>
      <w:r w:rsidR="00AB1A07" w:rsidRPr="00D84D56">
        <w:rPr>
          <w:rFonts w:cs="Arial"/>
          <w:b/>
          <w:lang w:val="en-GB"/>
        </w:rPr>
        <w:t>pronouns</w:t>
      </w:r>
      <w:r w:rsidR="00AB1A07" w:rsidRPr="00D84D56">
        <w:rPr>
          <w:rFonts w:cs="Arial"/>
          <w:lang w:val="en-GB"/>
        </w:rPr>
        <w:t>.</w:t>
      </w:r>
    </w:p>
    <w:p w14:paraId="62657C33" w14:textId="77777777" w:rsidR="00B92630" w:rsidRPr="00D84D56" w:rsidRDefault="00B92630" w:rsidP="0031507D">
      <w:pPr>
        <w:spacing w:before="160"/>
        <w:rPr>
          <w:rFonts w:cs="Arial"/>
          <w:lang w:val="en-GB"/>
        </w:rPr>
      </w:pPr>
      <w:r w:rsidRPr="00D84D56">
        <w:rPr>
          <w:rFonts w:cs="Arial"/>
          <w:b/>
          <w:lang w:val="en-GB"/>
        </w:rPr>
        <w:t>Cisgender/</w:t>
      </w:r>
      <w:r w:rsidR="006F0736" w:rsidRPr="00D84D56">
        <w:rPr>
          <w:rFonts w:cs="Arial"/>
          <w:b/>
          <w:lang w:val="en-GB"/>
        </w:rPr>
        <w:t xml:space="preserve"> </w:t>
      </w:r>
      <w:r w:rsidRPr="00D84D56">
        <w:rPr>
          <w:rFonts w:cs="Arial"/>
          <w:b/>
          <w:lang w:val="en-GB"/>
        </w:rPr>
        <w:t>Cis</w:t>
      </w:r>
      <w:r w:rsidRPr="00D84D56">
        <w:rPr>
          <w:rFonts w:cs="Arial"/>
          <w:lang w:val="en-GB"/>
        </w:rPr>
        <w:t>: This term is used to describe a person whose gender identity is congruent with their sex assigned at birth and/</w:t>
      </w:r>
      <w:r w:rsidR="006F0736" w:rsidRPr="00D84D56">
        <w:rPr>
          <w:rFonts w:cs="Arial"/>
          <w:lang w:val="en-GB"/>
        </w:rPr>
        <w:t xml:space="preserve"> </w:t>
      </w:r>
      <w:r w:rsidRPr="00D84D56">
        <w:rPr>
          <w:rFonts w:cs="Arial"/>
          <w:lang w:val="en-GB"/>
        </w:rPr>
        <w:t>or sexual appearance.</w:t>
      </w:r>
    </w:p>
    <w:p w14:paraId="6A5A9335" w14:textId="77777777" w:rsidR="00B92630" w:rsidRPr="00D84D56" w:rsidRDefault="00B92630" w:rsidP="0031507D">
      <w:pPr>
        <w:spacing w:before="160"/>
        <w:rPr>
          <w:rFonts w:cs="Arial"/>
          <w:lang w:val="en-GB"/>
        </w:rPr>
      </w:pPr>
      <w:r w:rsidRPr="00D84D56">
        <w:rPr>
          <w:rFonts w:cs="Arial"/>
          <w:b/>
          <w:lang w:val="en-GB"/>
        </w:rPr>
        <w:t>Cross-dresser</w:t>
      </w:r>
      <w:r w:rsidRPr="00D84D56">
        <w:rPr>
          <w:rFonts w:cs="Arial"/>
          <w:lang w:val="en-GB"/>
        </w:rPr>
        <w:t xml:space="preserve">: </w:t>
      </w:r>
      <w:r w:rsidR="00E803CA" w:rsidRPr="00D84D56">
        <w:rPr>
          <w:rFonts w:cs="Arial"/>
          <w:lang w:val="en-GB"/>
        </w:rPr>
        <w:t>A</w:t>
      </w:r>
      <w:r w:rsidRPr="00D84D56">
        <w:rPr>
          <w:rFonts w:cs="Arial"/>
          <w:lang w:val="en-GB"/>
        </w:rPr>
        <w:t xml:space="preserve"> person who wears the clothing, accessories and/</w:t>
      </w:r>
      <w:r w:rsidR="001670CF" w:rsidRPr="00D84D56">
        <w:rPr>
          <w:rFonts w:cs="Arial"/>
          <w:lang w:val="en-GB"/>
        </w:rPr>
        <w:t xml:space="preserve"> </w:t>
      </w:r>
      <w:r w:rsidRPr="00D84D56">
        <w:rPr>
          <w:rFonts w:cs="Arial"/>
          <w:lang w:val="en-GB"/>
        </w:rPr>
        <w:t xml:space="preserve">or make-up of the gender opposite to the one they were assigned at birth but does not feel the requirement to live permanently in the opposite gender. See also </w:t>
      </w:r>
      <w:r w:rsidRPr="00D84D56">
        <w:rPr>
          <w:rFonts w:cs="Arial"/>
          <w:b/>
          <w:lang w:val="en-GB"/>
        </w:rPr>
        <w:t>transvestite</w:t>
      </w:r>
      <w:r w:rsidRPr="00D84D56">
        <w:rPr>
          <w:rFonts w:cs="Arial"/>
          <w:lang w:val="en-GB"/>
        </w:rPr>
        <w:t>.</w:t>
      </w:r>
      <w:r w:rsidR="00E803CA" w:rsidRPr="00D84D56">
        <w:rPr>
          <w:rFonts w:cs="Arial"/>
          <w:lang w:val="en-GB"/>
        </w:rPr>
        <w:t xml:space="preserve"> The term is not synonymous with the term transgender.</w:t>
      </w:r>
    </w:p>
    <w:p w14:paraId="2FCE4606" w14:textId="77777777" w:rsidR="00B92630" w:rsidRPr="00D84D56" w:rsidRDefault="00B92630" w:rsidP="0031507D">
      <w:pPr>
        <w:spacing w:before="160"/>
        <w:rPr>
          <w:rFonts w:cs="Arial"/>
          <w:lang w:val="en-GB"/>
        </w:rPr>
      </w:pPr>
      <w:r w:rsidRPr="00D84D56">
        <w:rPr>
          <w:rFonts w:cs="Arial"/>
          <w:b/>
          <w:lang w:val="en-GB"/>
        </w:rPr>
        <w:t>Deadnaming</w:t>
      </w:r>
      <w:r w:rsidRPr="00D84D56">
        <w:rPr>
          <w:rFonts w:cs="Arial"/>
          <w:lang w:val="en-GB"/>
        </w:rPr>
        <w:t>: Calling someone by their birth name after they have changed their name. This term is often associated with trans people who have changed their name as part of their transition</w:t>
      </w:r>
      <w:r w:rsidR="00E803CA" w:rsidRPr="00D84D56">
        <w:rPr>
          <w:rFonts w:cs="Arial"/>
          <w:lang w:val="en-GB"/>
        </w:rPr>
        <w:t xml:space="preserve"> and is potentially offensive or even illegal.</w:t>
      </w:r>
    </w:p>
    <w:p w14:paraId="176131FE" w14:textId="3D11AE5E" w:rsidR="003A41FE" w:rsidRPr="00D84D56" w:rsidRDefault="003A41FE" w:rsidP="0031507D">
      <w:pPr>
        <w:spacing w:before="160"/>
        <w:rPr>
          <w:rFonts w:cs="Arial"/>
          <w:lang w:val="en-GB"/>
        </w:rPr>
      </w:pPr>
      <w:r w:rsidRPr="00D84D56">
        <w:rPr>
          <w:rFonts w:cs="Arial"/>
          <w:b/>
          <w:lang w:val="en-GB"/>
        </w:rPr>
        <w:t>Genderqueer</w:t>
      </w:r>
      <w:r w:rsidRPr="00D84D56">
        <w:rPr>
          <w:rFonts w:cs="Arial"/>
          <w:lang w:val="en-GB"/>
        </w:rPr>
        <w:t xml:space="preserve">: </w:t>
      </w:r>
      <w:r w:rsidR="00E803CA" w:rsidRPr="00D84D56">
        <w:rPr>
          <w:rFonts w:cs="Arial"/>
          <w:lang w:val="en-GB"/>
        </w:rPr>
        <w:t>S</w:t>
      </w:r>
      <w:r w:rsidRPr="00D84D56">
        <w:rPr>
          <w:rFonts w:cs="Arial"/>
          <w:lang w:val="en-GB"/>
        </w:rPr>
        <w:t xml:space="preserve">ee </w:t>
      </w:r>
      <w:r w:rsidRPr="00D84D56">
        <w:rPr>
          <w:rFonts w:cs="Arial"/>
          <w:b/>
          <w:lang w:val="en-GB"/>
        </w:rPr>
        <w:t>gender non-binary</w:t>
      </w:r>
      <w:r w:rsidR="00C953B3">
        <w:rPr>
          <w:rFonts w:cs="Arial"/>
          <w:lang w:val="en-GB"/>
        </w:rPr>
        <w:t xml:space="preserve"> and </w:t>
      </w:r>
      <w:r w:rsidR="00C953B3" w:rsidRPr="00C953B3">
        <w:rPr>
          <w:rFonts w:cs="Arial"/>
          <w:b/>
          <w:lang w:val="en-GB"/>
        </w:rPr>
        <w:t>queer</w:t>
      </w:r>
      <w:r w:rsidR="00C953B3">
        <w:rPr>
          <w:rFonts w:cs="Arial"/>
          <w:lang w:val="en-GB"/>
        </w:rPr>
        <w:t>.</w:t>
      </w:r>
    </w:p>
    <w:p w14:paraId="06C7A0A3" w14:textId="77777777" w:rsidR="00E803CA" w:rsidRPr="00D84D56" w:rsidRDefault="00E803CA" w:rsidP="0031507D">
      <w:pPr>
        <w:spacing w:before="160"/>
        <w:rPr>
          <w:rFonts w:cs="Arial"/>
          <w:lang w:val="en-GB"/>
        </w:rPr>
      </w:pPr>
      <w:r w:rsidRPr="00D84D56">
        <w:rPr>
          <w:b/>
          <w:lang w:val="en-GB"/>
        </w:rPr>
        <w:t>Gender affirmation</w:t>
      </w:r>
      <w:r w:rsidRPr="00D84D56">
        <w:rPr>
          <w:lang w:val="en-GB"/>
        </w:rPr>
        <w:t>: T</w:t>
      </w:r>
      <w:r w:rsidRPr="00D84D56">
        <w:rPr>
          <w:rFonts w:cs="Arial"/>
          <w:lang w:val="en-GB"/>
        </w:rPr>
        <w:t>he process of bringing one’s gender role and appearance into alignment with the gender identity, which ‘affirms’ that identity. The term ‘affirmed’ gender is becoming preferred to ‘acquired’.</w:t>
      </w:r>
    </w:p>
    <w:p w14:paraId="336A4C01" w14:textId="77777777" w:rsidR="00B92630" w:rsidRPr="00D84D56" w:rsidRDefault="00B92630" w:rsidP="0031507D">
      <w:pPr>
        <w:spacing w:before="160"/>
        <w:rPr>
          <w:rFonts w:cs="Arial"/>
          <w:lang w:val="en-GB"/>
        </w:rPr>
      </w:pPr>
      <w:r w:rsidRPr="00D84D56">
        <w:rPr>
          <w:rFonts w:cs="Arial"/>
          <w:b/>
          <w:lang w:val="en-GB"/>
        </w:rPr>
        <w:t xml:space="preserve">Gender </w:t>
      </w:r>
      <w:r w:rsidR="006F0736" w:rsidRPr="00D84D56">
        <w:rPr>
          <w:rFonts w:cs="Arial"/>
          <w:b/>
          <w:lang w:val="en-GB"/>
        </w:rPr>
        <w:t>b</w:t>
      </w:r>
      <w:r w:rsidRPr="00D84D56">
        <w:rPr>
          <w:rFonts w:cs="Arial"/>
          <w:b/>
          <w:lang w:val="en-GB"/>
        </w:rPr>
        <w:t>inary</w:t>
      </w:r>
      <w:r w:rsidRPr="00D84D56">
        <w:rPr>
          <w:rFonts w:cs="Arial"/>
          <w:lang w:val="en-GB"/>
        </w:rPr>
        <w:t xml:space="preserve">: </w:t>
      </w:r>
      <w:r w:rsidR="00E803CA" w:rsidRPr="00D84D56">
        <w:rPr>
          <w:rFonts w:cs="Arial"/>
          <w:lang w:val="en-GB"/>
        </w:rPr>
        <w:t>R</w:t>
      </w:r>
      <w:r w:rsidRPr="00D84D56">
        <w:rPr>
          <w:rFonts w:cs="Arial"/>
          <w:lang w:val="en-GB"/>
        </w:rPr>
        <w:t>efers to the social construction of a gender dichotomy between masculinity and femininity. The gender binary often ignores or denigrates alternate gender constructions</w:t>
      </w:r>
      <w:r w:rsidR="000864F7" w:rsidRPr="00D84D56">
        <w:rPr>
          <w:rFonts w:cs="Arial"/>
          <w:lang w:val="en-GB"/>
        </w:rPr>
        <w:t>.</w:t>
      </w:r>
      <w:r w:rsidR="000864F7" w:rsidRPr="00D84D56">
        <w:rPr>
          <w:lang w:val="en-GB"/>
        </w:rPr>
        <w:t xml:space="preserve"> </w:t>
      </w:r>
      <w:r w:rsidR="000864F7" w:rsidRPr="00D84D56">
        <w:rPr>
          <w:rFonts w:cs="Arial"/>
          <w:lang w:val="en-GB"/>
        </w:rPr>
        <w:t>It also refers to the presumption that someone’s sense of identity will be consistent with their sexual/ physical appearance.</w:t>
      </w:r>
    </w:p>
    <w:p w14:paraId="0FF2A473" w14:textId="77777777" w:rsidR="00B92630" w:rsidRPr="00D84D56" w:rsidRDefault="00B92630" w:rsidP="0031507D">
      <w:pPr>
        <w:spacing w:before="160"/>
        <w:rPr>
          <w:rFonts w:cs="Arial"/>
          <w:b/>
          <w:lang w:val="en-GB"/>
        </w:rPr>
      </w:pPr>
      <w:r w:rsidRPr="00D84D56">
        <w:rPr>
          <w:rFonts w:cs="Arial"/>
          <w:b/>
          <w:lang w:val="en-GB"/>
        </w:rPr>
        <w:t>Gender dysphoria</w:t>
      </w:r>
      <w:r w:rsidRPr="00D84D56">
        <w:rPr>
          <w:rFonts w:cs="Arial"/>
          <w:lang w:val="en-GB"/>
        </w:rPr>
        <w:t>: Gender dysphoria is where a person experiences discomfort or distress because there is a mismatch between their biological sex and their gender identity. For example, some people may have the anatomy associated with men, however identify themselves as a woman, while others may not feel they are definitively either male or female. This mismatch between sex and gender identity can lead to distressing and uncomfortable feelings that are called gender dysphoria.</w:t>
      </w:r>
    </w:p>
    <w:p w14:paraId="6A9B7A56" w14:textId="010A2E08" w:rsidR="002B5845" w:rsidRPr="00D84D56" w:rsidRDefault="002B5845" w:rsidP="0031507D">
      <w:pPr>
        <w:spacing w:before="160"/>
        <w:rPr>
          <w:rFonts w:cs="Arial"/>
          <w:b/>
          <w:lang w:val="en-GB"/>
        </w:rPr>
      </w:pPr>
      <w:r w:rsidRPr="00D84D56">
        <w:rPr>
          <w:rFonts w:cs="Arial"/>
          <w:b/>
          <w:lang w:val="en-GB"/>
        </w:rPr>
        <w:t>Gender essentialism</w:t>
      </w:r>
      <w:r w:rsidRPr="00D84D56">
        <w:rPr>
          <w:rFonts w:cs="Arial"/>
          <w:lang w:val="en-GB"/>
        </w:rPr>
        <w:t xml:space="preserve">: </w:t>
      </w:r>
      <w:r w:rsidR="00E803CA" w:rsidRPr="00D84D56">
        <w:rPr>
          <w:rFonts w:cs="Arial"/>
          <w:lang w:val="en-GB"/>
        </w:rPr>
        <w:t>The fiercely contested theory the separates people in two distinct categories (sexes) and assumes that people have natural, intrinsic characteristics stemming from their sex. This theory is believe</w:t>
      </w:r>
      <w:r w:rsidR="009859F6">
        <w:rPr>
          <w:rFonts w:cs="Arial"/>
          <w:lang w:val="en-GB"/>
        </w:rPr>
        <w:t>d</w:t>
      </w:r>
      <w:r w:rsidR="00E803CA" w:rsidRPr="00D84D56">
        <w:rPr>
          <w:rFonts w:cs="Arial"/>
          <w:lang w:val="en-GB"/>
        </w:rPr>
        <w:t xml:space="preserve"> to underpin gender-related stereotypes and biases, while it erases gender non-binary and intersex people. See also </w:t>
      </w:r>
      <w:r w:rsidR="00E803CA" w:rsidRPr="00D84D56">
        <w:rPr>
          <w:rFonts w:cs="Arial"/>
          <w:b/>
          <w:lang w:val="en-GB"/>
        </w:rPr>
        <w:t>gender binary</w:t>
      </w:r>
      <w:r w:rsidR="00E803CA" w:rsidRPr="00D84D56">
        <w:rPr>
          <w:rFonts w:cs="Arial"/>
          <w:lang w:val="en-GB"/>
        </w:rPr>
        <w:t>.</w:t>
      </w:r>
    </w:p>
    <w:p w14:paraId="69B115AC" w14:textId="3AC3B52C" w:rsidR="00B92630" w:rsidRPr="00D84D56" w:rsidRDefault="00B92630" w:rsidP="0031507D">
      <w:pPr>
        <w:spacing w:before="160"/>
        <w:rPr>
          <w:rFonts w:cs="Arial"/>
          <w:lang w:val="en-GB"/>
        </w:rPr>
      </w:pPr>
      <w:r w:rsidRPr="00D84D56">
        <w:rPr>
          <w:rFonts w:cs="Arial"/>
          <w:b/>
          <w:lang w:val="en-GB"/>
        </w:rPr>
        <w:t xml:space="preserve">Gender </w:t>
      </w:r>
      <w:r w:rsidR="002B5845" w:rsidRPr="00D84D56">
        <w:rPr>
          <w:rFonts w:cs="Arial"/>
          <w:b/>
          <w:lang w:val="en-GB"/>
        </w:rPr>
        <w:t>e</w:t>
      </w:r>
      <w:r w:rsidRPr="00D84D56">
        <w:rPr>
          <w:rFonts w:cs="Arial"/>
          <w:b/>
          <w:lang w:val="en-GB"/>
        </w:rPr>
        <w:t>xpression</w:t>
      </w:r>
      <w:r w:rsidRPr="00D84D56">
        <w:rPr>
          <w:rFonts w:cs="Arial"/>
          <w:lang w:val="en-GB"/>
        </w:rPr>
        <w:t xml:space="preserve">: </w:t>
      </w:r>
      <w:r w:rsidR="00E803CA" w:rsidRPr="00D84D56">
        <w:rPr>
          <w:rFonts w:cs="Arial"/>
          <w:lang w:val="en-GB"/>
        </w:rPr>
        <w:t>R</w:t>
      </w:r>
      <w:r w:rsidRPr="00D84D56">
        <w:rPr>
          <w:rFonts w:cs="Arial"/>
          <w:lang w:val="en-GB"/>
        </w:rPr>
        <w:t>efers to the manner in which persons represent or express gender to others, often through behavio</w:t>
      </w:r>
      <w:r w:rsidR="009859F6">
        <w:rPr>
          <w:rFonts w:cs="Arial"/>
          <w:lang w:val="en-GB"/>
        </w:rPr>
        <w:t>u</w:t>
      </w:r>
      <w:r w:rsidRPr="00D84D56">
        <w:rPr>
          <w:rFonts w:cs="Arial"/>
          <w:lang w:val="en-GB"/>
        </w:rPr>
        <w:t>r, clothing, hairstyles, activities, voice, or mannerisms.</w:t>
      </w:r>
    </w:p>
    <w:p w14:paraId="49995EEB" w14:textId="386CA35B" w:rsidR="00D70101" w:rsidRPr="00D84D56" w:rsidRDefault="00D70101" w:rsidP="0031507D">
      <w:pPr>
        <w:spacing w:before="160"/>
        <w:rPr>
          <w:rFonts w:cs="Arial"/>
          <w:lang w:val="en-GB"/>
        </w:rPr>
      </w:pPr>
      <w:r w:rsidRPr="00D84D56">
        <w:rPr>
          <w:rFonts w:cs="Arial"/>
          <w:b/>
          <w:lang w:val="en-GB"/>
        </w:rPr>
        <w:t>Gender fluid</w:t>
      </w:r>
      <w:r w:rsidRPr="00D84D56">
        <w:rPr>
          <w:rFonts w:cs="Arial"/>
          <w:lang w:val="en-GB"/>
        </w:rPr>
        <w:t xml:space="preserve">: </w:t>
      </w:r>
      <w:r w:rsidR="00E803CA" w:rsidRPr="00D84D56">
        <w:rPr>
          <w:rFonts w:cs="Arial"/>
          <w:lang w:val="en-GB"/>
        </w:rPr>
        <w:t>People whose gender identity and expression are not fixed but varies over</w:t>
      </w:r>
      <w:r w:rsidR="009859F6">
        <w:rPr>
          <w:rFonts w:cs="Arial"/>
          <w:lang w:val="en-GB"/>
        </w:rPr>
        <w:t xml:space="preserve"> </w:t>
      </w:r>
      <w:r w:rsidR="00E803CA" w:rsidRPr="00D84D56">
        <w:rPr>
          <w:rFonts w:cs="Arial"/>
          <w:lang w:val="en-GB"/>
        </w:rPr>
        <w:t>time in a dynamic manner. They may present as male, female, both or neither.</w:t>
      </w:r>
      <w:r w:rsidR="00AB1A07" w:rsidRPr="00D84D56">
        <w:rPr>
          <w:rFonts w:cs="Arial"/>
          <w:lang w:val="en-GB"/>
        </w:rPr>
        <w:t xml:space="preserve"> See also </w:t>
      </w:r>
      <w:r w:rsidR="00AB1A07" w:rsidRPr="00D84D56">
        <w:rPr>
          <w:rFonts w:cs="Arial"/>
          <w:b/>
          <w:lang w:val="en-GB"/>
        </w:rPr>
        <w:t>pronouns</w:t>
      </w:r>
      <w:r w:rsidR="00AB1A07" w:rsidRPr="00D84D56">
        <w:rPr>
          <w:rFonts w:cs="Arial"/>
          <w:lang w:val="en-GB"/>
        </w:rPr>
        <w:t>.</w:t>
      </w:r>
    </w:p>
    <w:p w14:paraId="1BDB4BBE" w14:textId="77777777" w:rsidR="00B92630" w:rsidRPr="00D84D56" w:rsidRDefault="00B92630" w:rsidP="0031507D">
      <w:pPr>
        <w:spacing w:before="160"/>
        <w:rPr>
          <w:rFonts w:cs="Arial"/>
          <w:b/>
          <w:lang w:val="en-GB"/>
        </w:rPr>
      </w:pPr>
      <w:r w:rsidRPr="00D84D56">
        <w:rPr>
          <w:rFonts w:cs="Arial"/>
          <w:b/>
          <w:lang w:val="en-GB"/>
        </w:rPr>
        <w:t>Gender identity</w:t>
      </w:r>
      <w:r w:rsidRPr="00D84D56">
        <w:rPr>
          <w:rFonts w:cs="Arial"/>
          <w:lang w:val="en-GB"/>
        </w:rPr>
        <w:t>: A person has an internal, deeply held sense</w:t>
      </w:r>
      <w:r w:rsidR="00D70101" w:rsidRPr="00D84D56">
        <w:rPr>
          <w:rFonts w:cs="Arial"/>
          <w:lang w:val="en-GB"/>
        </w:rPr>
        <w:t xml:space="preserve"> or knowledge</w:t>
      </w:r>
      <w:r w:rsidRPr="00D84D56">
        <w:rPr>
          <w:rFonts w:cs="Arial"/>
          <w:lang w:val="en-GB"/>
        </w:rPr>
        <w:t xml:space="preserve"> of their own gender.</w:t>
      </w:r>
      <w:r w:rsidR="00D70101" w:rsidRPr="00D84D56">
        <w:rPr>
          <w:rFonts w:cs="Arial"/>
          <w:lang w:val="en-GB"/>
        </w:rPr>
        <w:t xml:space="preserve"> How individuals perceive themselves and how others should recognise them; their innermost concept of self as male, female, a blend of both or neither. Gender identity can be the same or different from the sex assigned at birth. For trans people, their own sense of who they are does not match the sex that society assigns to them when they are born.</w:t>
      </w:r>
    </w:p>
    <w:p w14:paraId="46F580DB" w14:textId="77777777" w:rsidR="00D70101" w:rsidRPr="00D84D56" w:rsidRDefault="00D70101" w:rsidP="0031507D">
      <w:pPr>
        <w:spacing w:before="160"/>
        <w:rPr>
          <w:rFonts w:cs="Arial"/>
          <w:lang w:val="en-GB"/>
        </w:rPr>
      </w:pPr>
      <w:r w:rsidRPr="00D84D56">
        <w:rPr>
          <w:rFonts w:cs="Arial"/>
          <w:b/>
          <w:lang w:val="en-GB"/>
        </w:rPr>
        <w:t>Gender neutral</w:t>
      </w:r>
      <w:r w:rsidRPr="00D84D56">
        <w:rPr>
          <w:rFonts w:cs="Arial"/>
          <w:lang w:val="en-GB"/>
        </w:rPr>
        <w:t>: People who reject the idea of gender and may describe themselves as gender neutral, genderless, null-gender, nongender, or agender.</w:t>
      </w:r>
    </w:p>
    <w:p w14:paraId="535D1A50" w14:textId="77777777" w:rsidR="003A41FE" w:rsidRPr="00D84D56" w:rsidRDefault="003A41FE" w:rsidP="0031507D">
      <w:pPr>
        <w:spacing w:before="160"/>
        <w:rPr>
          <w:rFonts w:cs="Arial"/>
          <w:lang w:val="en-GB"/>
        </w:rPr>
      </w:pPr>
      <w:r w:rsidRPr="00D84D56">
        <w:rPr>
          <w:rFonts w:cs="Arial"/>
          <w:b/>
          <w:lang w:val="en-GB"/>
        </w:rPr>
        <w:t>Gender non-binary</w:t>
      </w:r>
      <w:r w:rsidRPr="00D84D56">
        <w:rPr>
          <w:rFonts w:cs="Arial"/>
          <w:lang w:val="en-GB"/>
        </w:rPr>
        <w:t xml:space="preserve">: Someone who feels that their gender identity does not fit within society’s gender binary “norm” of being exclusively male or female. </w:t>
      </w:r>
      <w:r w:rsidR="00AB1A07" w:rsidRPr="00D84D56">
        <w:rPr>
          <w:rFonts w:cs="Arial"/>
          <w:lang w:val="en-GB"/>
        </w:rPr>
        <w:t xml:space="preserve">This includes persons who identify outside traditional gender categories or identify as both genders. </w:t>
      </w:r>
      <w:r w:rsidRPr="00D84D56">
        <w:rPr>
          <w:rFonts w:cs="Arial"/>
          <w:lang w:val="en-GB"/>
        </w:rPr>
        <w:t>They may self-identify and may describe themselves as non-binary, pan-gender, poly-gender, third gender,</w:t>
      </w:r>
      <w:r w:rsidR="00AB1A07" w:rsidRPr="00D84D56">
        <w:rPr>
          <w:rFonts w:cs="Arial"/>
          <w:lang w:val="en-GB"/>
        </w:rPr>
        <w:t xml:space="preserve"> </w:t>
      </w:r>
      <w:r w:rsidRPr="00D84D56">
        <w:rPr>
          <w:rFonts w:cs="Arial"/>
          <w:lang w:val="en-GB"/>
        </w:rPr>
        <w:t>genderqueer, or neutrois. They may embrace aspects of binary genders or may identify with neither. Others may consider themselves to be ‘third’ gender, identify as genderless or agender.</w:t>
      </w:r>
      <w:r w:rsidR="00AB1A07" w:rsidRPr="00D84D56">
        <w:rPr>
          <w:rFonts w:cs="Arial"/>
          <w:lang w:val="en-GB"/>
        </w:rPr>
        <w:t xml:space="preserve"> See also </w:t>
      </w:r>
      <w:r w:rsidR="00AB1A07" w:rsidRPr="00D84D56">
        <w:rPr>
          <w:rFonts w:cs="Arial"/>
          <w:b/>
          <w:lang w:val="en-GB"/>
        </w:rPr>
        <w:t>pronouns</w:t>
      </w:r>
      <w:r w:rsidR="00AB1A07" w:rsidRPr="00D84D56">
        <w:rPr>
          <w:rFonts w:cs="Arial"/>
          <w:lang w:val="en-GB"/>
        </w:rPr>
        <w:t>.</w:t>
      </w:r>
    </w:p>
    <w:p w14:paraId="35C75737" w14:textId="77777777" w:rsidR="00D70101" w:rsidRPr="00D84D56" w:rsidRDefault="00D70101" w:rsidP="0031507D">
      <w:pPr>
        <w:spacing w:before="160"/>
        <w:rPr>
          <w:rFonts w:cs="Arial"/>
          <w:lang w:val="en-GB"/>
        </w:rPr>
      </w:pPr>
      <w:r w:rsidRPr="00D84D56">
        <w:rPr>
          <w:rFonts w:cs="Arial"/>
          <w:b/>
          <w:lang w:val="en-GB"/>
        </w:rPr>
        <w:t>Gender spectrum</w:t>
      </w:r>
      <w:r w:rsidRPr="00D84D56">
        <w:rPr>
          <w:rFonts w:cs="Arial"/>
          <w:lang w:val="en-GB"/>
        </w:rPr>
        <w:t>: A range of gender identities between and outside of the categories of masculine/</w:t>
      </w:r>
      <w:r w:rsidR="001670CF" w:rsidRPr="00D84D56">
        <w:rPr>
          <w:rFonts w:cs="Arial"/>
          <w:lang w:val="en-GB"/>
        </w:rPr>
        <w:t xml:space="preserve"> </w:t>
      </w:r>
      <w:r w:rsidRPr="00D84D56">
        <w:rPr>
          <w:rFonts w:cs="Arial"/>
          <w:lang w:val="en-GB"/>
        </w:rPr>
        <w:t>male and feminine/</w:t>
      </w:r>
      <w:r w:rsidR="001670CF" w:rsidRPr="00D84D56">
        <w:rPr>
          <w:rFonts w:cs="Arial"/>
          <w:lang w:val="en-GB"/>
        </w:rPr>
        <w:t xml:space="preserve"> </w:t>
      </w:r>
      <w:r w:rsidRPr="00D84D56">
        <w:rPr>
          <w:rFonts w:cs="Arial"/>
          <w:lang w:val="en-GB"/>
        </w:rPr>
        <w:t>female.</w:t>
      </w:r>
    </w:p>
    <w:p w14:paraId="3B699EE4" w14:textId="77777777" w:rsidR="003A41FE" w:rsidRPr="00D84D56" w:rsidRDefault="003A41FE" w:rsidP="0031507D">
      <w:pPr>
        <w:spacing w:before="160"/>
        <w:rPr>
          <w:rFonts w:cs="Arial"/>
          <w:lang w:val="en-GB"/>
        </w:rPr>
      </w:pPr>
      <w:r w:rsidRPr="00D84D56">
        <w:rPr>
          <w:rFonts w:cs="Arial"/>
          <w:b/>
          <w:lang w:val="en-GB"/>
        </w:rPr>
        <w:t>Gender variant</w:t>
      </w:r>
      <w:r w:rsidRPr="00D84D56">
        <w:rPr>
          <w:rFonts w:cs="Arial"/>
          <w:lang w:val="en-GB"/>
        </w:rPr>
        <w:t xml:space="preserve">: </w:t>
      </w:r>
      <w:r w:rsidR="0066310C" w:rsidRPr="00D84D56">
        <w:rPr>
          <w:rFonts w:cs="Arial"/>
          <w:lang w:val="en-GB"/>
        </w:rPr>
        <w:t>S</w:t>
      </w:r>
      <w:r w:rsidRPr="00D84D56">
        <w:rPr>
          <w:rFonts w:cs="Arial"/>
          <w:lang w:val="en-GB"/>
        </w:rPr>
        <w:t xml:space="preserve">ee </w:t>
      </w:r>
      <w:r w:rsidRPr="00D84D56">
        <w:rPr>
          <w:rFonts w:cs="Arial"/>
          <w:b/>
          <w:lang w:val="en-GB"/>
        </w:rPr>
        <w:t>gender non-binary</w:t>
      </w:r>
      <w:r w:rsidRPr="00D84D56">
        <w:rPr>
          <w:rFonts w:cs="Arial"/>
          <w:lang w:val="en-GB"/>
        </w:rPr>
        <w:t>.</w:t>
      </w:r>
    </w:p>
    <w:p w14:paraId="5E01565C" w14:textId="08209800" w:rsidR="00B92630" w:rsidRPr="00D84D56" w:rsidRDefault="00B92630" w:rsidP="0031507D">
      <w:pPr>
        <w:spacing w:before="160"/>
        <w:rPr>
          <w:rFonts w:cs="Arial"/>
          <w:lang w:val="en-GB"/>
        </w:rPr>
      </w:pPr>
      <w:r w:rsidRPr="00D84D56">
        <w:rPr>
          <w:rFonts w:cs="Arial"/>
          <w:b/>
          <w:lang w:val="en-GB"/>
        </w:rPr>
        <w:t>Gender reassignment</w:t>
      </w:r>
      <w:r w:rsidRPr="00D84D56">
        <w:rPr>
          <w:rFonts w:cs="Arial"/>
          <w:lang w:val="en-GB"/>
        </w:rPr>
        <w:t>: The Equality and Human Rights Commission advises that the term ‘gender</w:t>
      </w:r>
      <w:r w:rsidRPr="00D84D56">
        <w:rPr>
          <w:rFonts w:cs="Arial"/>
          <w:b/>
          <w:lang w:val="en-GB"/>
        </w:rPr>
        <w:t xml:space="preserve"> </w:t>
      </w:r>
      <w:r w:rsidRPr="00D84D56">
        <w:rPr>
          <w:rFonts w:cs="Arial"/>
          <w:lang w:val="en-GB"/>
        </w:rPr>
        <w:t>reassignment’ is outdated or misleading, and the preferred umbrella term is ‘trans’. The Council recognises that gender identity is complex and varied (</w:t>
      </w:r>
      <w:r w:rsidR="00C953B3">
        <w:rPr>
          <w:rFonts w:cs="Arial"/>
          <w:lang w:val="en-GB"/>
        </w:rPr>
        <w:t>for example,</w:t>
      </w:r>
      <w:r w:rsidRPr="00D84D56">
        <w:rPr>
          <w:rFonts w:cs="Arial"/>
          <w:lang w:val="en-GB"/>
        </w:rPr>
        <w:t xml:space="preserve"> some people identify as genderfluid, gender queer or non-binary), and this will be reflected in our approach.</w:t>
      </w:r>
      <w:r w:rsidR="00E803CA" w:rsidRPr="00D84D56">
        <w:rPr>
          <w:rFonts w:cs="Arial"/>
          <w:lang w:val="en-GB"/>
        </w:rPr>
        <w:t xml:space="preserve"> See also </w:t>
      </w:r>
      <w:r w:rsidR="00E803CA" w:rsidRPr="00D84D56">
        <w:rPr>
          <w:rFonts w:cs="Arial"/>
          <w:b/>
          <w:lang w:val="en-GB"/>
        </w:rPr>
        <w:t>gender affirmation</w:t>
      </w:r>
      <w:r w:rsidR="00E803CA" w:rsidRPr="00D84D56">
        <w:rPr>
          <w:rFonts w:cs="Arial"/>
          <w:lang w:val="en-GB"/>
        </w:rPr>
        <w:t>.</w:t>
      </w:r>
    </w:p>
    <w:p w14:paraId="745AF6D6" w14:textId="77777777" w:rsidR="00FA3C4B" w:rsidRPr="00D84D56" w:rsidRDefault="00B92630" w:rsidP="0031507D">
      <w:pPr>
        <w:spacing w:before="160"/>
        <w:rPr>
          <w:rFonts w:cs="Arial"/>
          <w:lang w:val="en-GB"/>
        </w:rPr>
      </w:pPr>
      <w:r w:rsidRPr="00D84D56">
        <w:rPr>
          <w:rFonts w:cs="Arial"/>
          <w:b/>
          <w:lang w:val="en-GB"/>
        </w:rPr>
        <w:t>Gender recognition certificate</w:t>
      </w:r>
      <w:r w:rsidRPr="00D84D56">
        <w:rPr>
          <w:rFonts w:cs="Arial"/>
          <w:lang w:val="en-GB"/>
        </w:rPr>
        <w:t xml:space="preserve">: </w:t>
      </w:r>
      <w:r w:rsidR="0066310C" w:rsidRPr="00D84D56">
        <w:rPr>
          <w:rFonts w:cs="Arial"/>
          <w:lang w:val="en-GB"/>
        </w:rPr>
        <w:t>I</w:t>
      </w:r>
      <w:r w:rsidRPr="00D84D56">
        <w:rPr>
          <w:rFonts w:cs="Arial"/>
          <w:lang w:val="en-GB"/>
        </w:rPr>
        <w:t>n the UK, people can obtain a gender recognition certificate (GRC), which enables them to get a new accurate birth certificate. The process for applying for a GRC can be quite burdensome and not every transgender person will choose to do so. People do not need a GRC to transition at work or for most official purposes. In order to receive a GRC you must:</w:t>
      </w:r>
    </w:p>
    <w:p w14:paraId="60BC73C4" w14:textId="77777777" w:rsidR="00FA3C4B" w:rsidRPr="00D84D56" w:rsidRDefault="00B92630" w:rsidP="0031507D">
      <w:pPr>
        <w:numPr>
          <w:ilvl w:val="0"/>
          <w:numId w:val="16"/>
        </w:numPr>
        <w:rPr>
          <w:rFonts w:cs="Arial"/>
          <w:lang w:val="en-GB"/>
        </w:rPr>
      </w:pPr>
      <w:r w:rsidRPr="00D84D56">
        <w:rPr>
          <w:rFonts w:cs="Arial"/>
          <w:lang w:val="en-GB"/>
        </w:rPr>
        <w:t>be 18 or over;</w:t>
      </w:r>
    </w:p>
    <w:p w14:paraId="38B20224" w14:textId="77777777" w:rsidR="00FA3C4B" w:rsidRPr="00D84D56" w:rsidRDefault="00B92630" w:rsidP="0031507D">
      <w:pPr>
        <w:numPr>
          <w:ilvl w:val="0"/>
          <w:numId w:val="16"/>
        </w:numPr>
        <w:rPr>
          <w:rFonts w:cs="Arial"/>
          <w:lang w:val="en-GB"/>
        </w:rPr>
      </w:pPr>
      <w:r w:rsidRPr="00D84D56">
        <w:rPr>
          <w:rFonts w:cs="Arial"/>
          <w:lang w:val="en-GB"/>
        </w:rPr>
        <w:t>be diagnosed with gender dysphoria (unhappiness with your birth gender);</w:t>
      </w:r>
    </w:p>
    <w:p w14:paraId="2008F40D" w14:textId="77777777" w:rsidR="00FA3C4B" w:rsidRPr="00D84D56" w:rsidRDefault="00B92630" w:rsidP="0031507D">
      <w:pPr>
        <w:numPr>
          <w:ilvl w:val="0"/>
          <w:numId w:val="16"/>
        </w:numPr>
        <w:rPr>
          <w:rFonts w:cs="Arial"/>
          <w:lang w:val="en-GB"/>
        </w:rPr>
      </w:pPr>
      <w:r w:rsidRPr="00D84D56">
        <w:rPr>
          <w:rFonts w:cs="Arial"/>
          <w:lang w:val="en-GB"/>
        </w:rPr>
        <w:t>have lived as your acquired gender for at least two years;</w:t>
      </w:r>
    </w:p>
    <w:p w14:paraId="12874974" w14:textId="77777777" w:rsidR="00FA3C4B" w:rsidRPr="00D84D56" w:rsidRDefault="00B92630" w:rsidP="0031507D">
      <w:pPr>
        <w:numPr>
          <w:ilvl w:val="0"/>
          <w:numId w:val="16"/>
        </w:numPr>
        <w:rPr>
          <w:rFonts w:cs="Arial"/>
          <w:lang w:val="en-GB"/>
        </w:rPr>
      </w:pPr>
      <w:r w:rsidRPr="00D84D56">
        <w:rPr>
          <w:rFonts w:cs="Arial"/>
          <w:lang w:val="en-GB"/>
        </w:rPr>
        <w:t>intend to live in your acquired gender for the rest of your life;</w:t>
      </w:r>
    </w:p>
    <w:p w14:paraId="6B19997D" w14:textId="77777777" w:rsidR="00B92630" w:rsidRPr="00D84D56" w:rsidRDefault="00B92630" w:rsidP="0031507D">
      <w:pPr>
        <w:numPr>
          <w:ilvl w:val="0"/>
          <w:numId w:val="16"/>
        </w:numPr>
        <w:rPr>
          <w:rFonts w:cs="Arial"/>
          <w:lang w:val="en-GB"/>
        </w:rPr>
      </w:pPr>
      <w:r w:rsidRPr="00D84D56">
        <w:rPr>
          <w:rFonts w:cs="Arial"/>
          <w:lang w:val="en-GB"/>
        </w:rPr>
        <w:t>apply to the Gender Recognition Panel.</w:t>
      </w:r>
    </w:p>
    <w:p w14:paraId="50225302" w14:textId="77777777" w:rsidR="00D70101" w:rsidRPr="00D84D56" w:rsidRDefault="00D70101" w:rsidP="0031507D">
      <w:pPr>
        <w:spacing w:before="160"/>
        <w:rPr>
          <w:rFonts w:cs="Arial"/>
          <w:lang w:val="en-GB"/>
        </w:rPr>
      </w:pPr>
      <w:r w:rsidRPr="00D84D56">
        <w:rPr>
          <w:rFonts w:cs="Arial"/>
          <w:b/>
          <w:lang w:val="en-GB"/>
        </w:rPr>
        <w:t>Gender Recognition Panel</w:t>
      </w:r>
      <w:r w:rsidRPr="00D84D56">
        <w:rPr>
          <w:rFonts w:cs="Arial"/>
          <w:lang w:val="en-GB"/>
        </w:rPr>
        <w:t>: The Gender Recognition Panel was set up by the Gender Recognition Act 2004 and consists of lawyers and doctors who assess whether an individual is able to satisfy the Act’s evidence requirements for the issuing of a Gender Recognition Certificate (GRC). The holder of a full GRC is legally recognised in their acquired gender for all purposes.</w:t>
      </w:r>
    </w:p>
    <w:p w14:paraId="4FD764A5" w14:textId="7E94A299" w:rsidR="00B92630" w:rsidRPr="00D84D56" w:rsidRDefault="00B92630" w:rsidP="0031507D">
      <w:pPr>
        <w:spacing w:before="160"/>
        <w:rPr>
          <w:rFonts w:cs="Arial"/>
          <w:lang w:val="en-GB"/>
        </w:rPr>
      </w:pPr>
      <w:r w:rsidRPr="00D84D56">
        <w:rPr>
          <w:rFonts w:cs="Arial"/>
          <w:b/>
          <w:lang w:val="en-GB"/>
        </w:rPr>
        <w:t>Gender</w:t>
      </w:r>
      <w:r w:rsidRPr="00D84D56">
        <w:rPr>
          <w:rFonts w:cs="Arial"/>
          <w:lang w:val="en-GB"/>
        </w:rPr>
        <w:t xml:space="preserve">: </w:t>
      </w:r>
      <w:r w:rsidR="0066310C" w:rsidRPr="00D84D56">
        <w:rPr>
          <w:rFonts w:cs="Arial"/>
          <w:lang w:val="en-GB"/>
        </w:rPr>
        <w:t>R</w:t>
      </w:r>
      <w:r w:rsidRPr="00D84D56">
        <w:rPr>
          <w:rFonts w:cs="Arial"/>
          <w:lang w:val="en-GB"/>
        </w:rPr>
        <w:t>efers to the socially constructed roles, behavio</w:t>
      </w:r>
      <w:r w:rsidR="009859F6">
        <w:rPr>
          <w:rFonts w:cs="Arial"/>
          <w:lang w:val="en-GB"/>
        </w:rPr>
        <w:t>u</w:t>
      </w:r>
      <w:r w:rsidRPr="00D84D56">
        <w:rPr>
          <w:rFonts w:cs="Arial"/>
          <w:lang w:val="en-GB"/>
        </w:rPr>
        <w:t>rs, activities, and attributes that a given society attaches to femininity or masculinity.</w:t>
      </w:r>
    </w:p>
    <w:p w14:paraId="153CDD85" w14:textId="77777777" w:rsidR="00B92630" w:rsidRPr="00D84D56" w:rsidRDefault="00B92630" w:rsidP="0031507D">
      <w:pPr>
        <w:spacing w:before="160"/>
        <w:rPr>
          <w:rFonts w:cs="Arial"/>
          <w:lang w:val="en-GB"/>
        </w:rPr>
      </w:pPr>
      <w:r w:rsidRPr="00D84D56">
        <w:rPr>
          <w:rFonts w:cs="Arial"/>
          <w:b/>
          <w:lang w:val="en-GB"/>
        </w:rPr>
        <w:t>Intersectionality</w:t>
      </w:r>
      <w:r w:rsidRPr="00D84D56">
        <w:rPr>
          <w:rFonts w:cs="Arial"/>
          <w:lang w:val="en-GB"/>
        </w:rPr>
        <w:t xml:space="preserve">: </w:t>
      </w:r>
      <w:r w:rsidR="00DB00CF" w:rsidRPr="00D84D56">
        <w:rPr>
          <w:rFonts w:cs="Arial"/>
          <w:lang w:val="en-GB"/>
        </w:rPr>
        <w:t xml:space="preserve">This theory recognises that </w:t>
      </w:r>
      <w:r w:rsidR="00BC780B" w:rsidRPr="00D84D56">
        <w:rPr>
          <w:rFonts w:cs="Arial"/>
          <w:lang w:val="en-GB"/>
        </w:rPr>
        <w:t>various aspects of social or political identity can coexist and give rise to various types of discrimination at the same time. For example, the experience of a white trans woman may be different to the one of a black trans woman</w:t>
      </w:r>
      <w:r w:rsidRPr="00D84D56">
        <w:rPr>
          <w:rFonts w:cs="Arial"/>
          <w:lang w:val="en-GB"/>
        </w:rPr>
        <w:t xml:space="preserve">. </w:t>
      </w:r>
      <w:r w:rsidR="00BC780B" w:rsidRPr="00D84D56">
        <w:rPr>
          <w:rFonts w:cs="Arial"/>
          <w:lang w:val="en-GB"/>
        </w:rPr>
        <w:t>Therefore, s</w:t>
      </w:r>
      <w:r w:rsidRPr="00D84D56">
        <w:rPr>
          <w:rFonts w:cs="Arial"/>
          <w:lang w:val="en-GB"/>
        </w:rPr>
        <w:t>ome Transgender people may experience additional discrimination</w:t>
      </w:r>
      <w:r w:rsidR="009705EC" w:rsidRPr="00D84D56">
        <w:rPr>
          <w:rFonts w:cs="Arial"/>
          <w:lang w:val="en-GB"/>
        </w:rPr>
        <w:t>.</w:t>
      </w:r>
    </w:p>
    <w:p w14:paraId="5B0AE70B" w14:textId="77777777" w:rsidR="00B92630" w:rsidRPr="00D84D56" w:rsidRDefault="00B92630" w:rsidP="0031507D">
      <w:pPr>
        <w:spacing w:before="160"/>
        <w:rPr>
          <w:lang w:val="en-GB"/>
        </w:rPr>
      </w:pPr>
      <w:r w:rsidRPr="00D84D56">
        <w:rPr>
          <w:b/>
          <w:lang w:val="en-GB"/>
        </w:rPr>
        <w:t>Intersex</w:t>
      </w:r>
      <w:r w:rsidRPr="00D84D56">
        <w:rPr>
          <w:lang w:val="en-GB"/>
        </w:rPr>
        <w:t xml:space="preserve">: </w:t>
      </w:r>
      <w:r w:rsidR="0066310C" w:rsidRPr="00D84D56">
        <w:rPr>
          <w:lang w:val="en-GB"/>
        </w:rPr>
        <w:t>A</w:t>
      </w:r>
      <w:r w:rsidRPr="00D84D56">
        <w:rPr>
          <w:lang w:val="en-GB"/>
        </w:rPr>
        <w:t xml:space="preserve"> general term for a variety of </w:t>
      </w:r>
      <w:r w:rsidR="0066310C" w:rsidRPr="00D84D56">
        <w:rPr>
          <w:lang w:val="en-GB"/>
        </w:rPr>
        <w:t>sex characteristics</w:t>
      </w:r>
      <w:r w:rsidRPr="00D84D56">
        <w:rPr>
          <w:lang w:val="en-GB"/>
        </w:rPr>
        <w:t xml:space="preserve"> </w:t>
      </w:r>
      <w:r w:rsidR="0066310C" w:rsidRPr="00D84D56">
        <w:rPr>
          <w:lang w:val="en-GB"/>
        </w:rPr>
        <w:t xml:space="preserve">(chromosomes, hormones, organs, anatomy) with </w:t>
      </w:r>
      <w:r w:rsidRPr="00D84D56">
        <w:rPr>
          <w:lang w:val="en-GB"/>
        </w:rPr>
        <w:t xml:space="preserve">which a person is born </w:t>
      </w:r>
      <w:r w:rsidR="0066310C" w:rsidRPr="00D84D56">
        <w:rPr>
          <w:lang w:val="en-GB"/>
        </w:rPr>
        <w:t>and</w:t>
      </w:r>
      <w:r w:rsidRPr="00D84D56">
        <w:rPr>
          <w:lang w:val="en-GB"/>
        </w:rPr>
        <w:t xml:space="preserve"> that do not fit the typical definitions of female or male.</w:t>
      </w:r>
    </w:p>
    <w:p w14:paraId="679458E7" w14:textId="77777777" w:rsidR="0031507D" w:rsidRDefault="00B92630" w:rsidP="0031507D">
      <w:pPr>
        <w:spacing w:before="160"/>
        <w:rPr>
          <w:rFonts w:cs="Arial"/>
          <w:lang w:val="en-GB"/>
        </w:rPr>
      </w:pPr>
      <w:r w:rsidRPr="00D84D56">
        <w:rPr>
          <w:b/>
          <w:lang w:val="en-GB"/>
        </w:rPr>
        <w:t>LGBTQ+</w:t>
      </w:r>
      <w:r w:rsidRPr="00D84D56">
        <w:rPr>
          <w:lang w:val="en-GB"/>
        </w:rPr>
        <w:t>: Acronym for lesbian, gay bisexual and transgender. ‘Q’ stands for either queer or questioning or both; LGBTQI</w:t>
      </w:r>
      <w:r w:rsidR="0066310C" w:rsidRPr="00D84D56">
        <w:rPr>
          <w:lang w:val="en-GB"/>
        </w:rPr>
        <w:t xml:space="preserve"> </w:t>
      </w:r>
      <w:r w:rsidRPr="00D84D56">
        <w:rPr>
          <w:lang w:val="en-GB"/>
        </w:rPr>
        <w:t>includes ‘I’ for intersex and; LGBTQIA includes ‘A’ for ally or asexual or both; LGBT+ includes ‘+’ encompassing all forms of gender expressions.</w:t>
      </w:r>
    </w:p>
    <w:p w14:paraId="7B7316B9" w14:textId="57DA2A44" w:rsidR="00B92630" w:rsidRPr="00D84D56" w:rsidRDefault="00B92630" w:rsidP="0031507D">
      <w:pPr>
        <w:spacing w:before="160"/>
        <w:rPr>
          <w:rFonts w:cs="Arial"/>
          <w:lang w:val="en-GB"/>
        </w:rPr>
      </w:pPr>
      <w:r w:rsidRPr="00D84D56">
        <w:rPr>
          <w:rFonts w:cs="Arial"/>
          <w:b/>
          <w:lang w:val="en-GB"/>
        </w:rPr>
        <w:t>Outing</w:t>
      </w:r>
      <w:r w:rsidRPr="00D84D56">
        <w:rPr>
          <w:rFonts w:cs="Arial"/>
          <w:lang w:val="en-GB"/>
        </w:rPr>
        <w:t>: Revealing someone’s sexuality or gender identity without their knowledge or consent</w:t>
      </w:r>
      <w:r w:rsidR="0066310C" w:rsidRPr="00D84D56">
        <w:rPr>
          <w:rFonts w:cs="Arial"/>
          <w:lang w:val="en-GB"/>
        </w:rPr>
        <w:t>, which can have a detrimental effect on the individual and even be unlawful.</w:t>
      </w:r>
    </w:p>
    <w:p w14:paraId="093BBF6E" w14:textId="2B00BA49" w:rsidR="009705EC" w:rsidRPr="00D84D56" w:rsidRDefault="009705EC" w:rsidP="0031507D">
      <w:pPr>
        <w:spacing w:before="160"/>
        <w:rPr>
          <w:rFonts w:cs="Arial"/>
          <w:lang w:val="en-GB"/>
        </w:rPr>
      </w:pPr>
      <w:r w:rsidRPr="00D84D56">
        <w:rPr>
          <w:rFonts w:cs="Arial"/>
          <w:b/>
          <w:lang w:val="en-GB"/>
        </w:rPr>
        <w:t>Pronouns</w:t>
      </w:r>
      <w:r w:rsidRPr="00D84D56">
        <w:rPr>
          <w:rFonts w:cs="Arial"/>
          <w:lang w:val="en-GB"/>
        </w:rPr>
        <w:t xml:space="preserve">: </w:t>
      </w:r>
      <w:r w:rsidR="0066310C" w:rsidRPr="00D84D56">
        <w:rPr>
          <w:rFonts w:cs="Arial"/>
          <w:lang w:val="en-GB"/>
        </w:rPr>
        <w:t>W</w:t>
      </w:r>
      <w:r w:rsidR="001D486E" w:rsidRPr="00D84D56">
        <w:rPr>
          <w:rFonts w:cs="Arial"/>
          <w:lang w:val="en-GB"/>
        </w:rPr>
        <w:t xml:space="preserve">ords we use to refer to people’s gender in conversations, </w:t>
      </w:r>
      <w:r w:rsidR="00C953B3">
        <w:rPr>
          <w:rFonts w:cs="Arial"/>
          <w:lang w:val="en-GB"/>
        </w:rPr>
        <w:t>for example,</w:t>
      </w:r>
      <w:r w:rsidR="001D486E" w:rsidRPr="00D84D56">
        <w:rPr>
          <w:rFonts w:cs="Arial"/>
          <w:lang w:val="en-GB"/>
        </w:rPr>
        <w:t xml:space="preserve"> ‘he’ or ‘she’. Some trans or non-binary people prefer gender-neutral pronouns such as ‘they’ or ‘ze’.</w:t>
      </w:r>
    </w:p>
    <w:p w14:paraId="542B9B21" w14:textId="68C61A46" w:rsidR="00B92630" w:rsidRPr="00D84D56" w:rsidRDefault="00B92630" w:rsidP="0031507D">
      <w:pPr>
        <w:spacing w:before="160"/>
        <w:rPr>
          <w:rFonts w:cs="Arial"/>
          <w:lang w:val="en-GB"/>
        </w:rPr>
      </w:pPr>
      <w:r w:rsidRPr="00D84D56">
        <w:rPr>
          <w:rFonts w:cs="Arial"/>
          <w:b/>
          <w:lang w:val="en-GB"/>
        </w:rPr>
        <w:t>Queer</w:t>
      </w:r>
      <w:r w:rsidRPr="00D84D56">
        <w:rPr>
          <w:rFonts w:cs="Arial"/>
          <w:lang w:val="en-GB"/>
        </w:rPr>
        <w:t xml:space="preserve">: </w:t>
      </w:r>
      <w:r w:rsidR="00B264CB" w:rsidRPr="00D84D56">
        <w:rPr>
          <w:rFonts w:cs="Arial"/>
          <w:lang w:val="en-GB"/>
        </w:rPr>
        <w:t xml:space="preserve">see </w:t>
      </w:r>
      <w:r w:rsidR="00B264CB" w:rsidRPr="00D84D56">
        <w:rPr>
          <w:rFonts w:cs="Arial"/>
          <w:b/>
          <w:lang w:val="en-GB"/>
        </w:rPr>
        <w:t>gender non-binary</w:t>
      </w:r>
      <w:r w:rsidR="00C953B3">
        <w:rPr>
          <w:rFonts w:cs="Arial"/>
          <w:lang w:val="en-GB"/>
        </w:rPr>
        <w:t xml:space="preserve"> and </w:t>
      </w:r>
      <w:r w:rsidR="00C953B3" w:rsidRPr="00C953B3">
        <w:rPr>
          <w:rFonts w:cs="Arial"/>
          <w:b/>
          <w:lang w:val="en-GB"/>
        </w:rPr>
        <w:t>trans/ transgender</w:t>
      </w:r>
      <w:r w:rsidR="00C953B3">
        <w:rPr>
          <w:rFonts w:cs="Arial"/>
          <w:lang w:val="en-GB"/>
        </w:rPr>
        <w:t>.</w:t>
      </w:r>
      <w:r w:rsidRPr="00D84D56">
        <w:rPr>
          <w:rFonts w:cs="Arial"/>
          <w:lang w:val="en-GB"/>
        </w:rPr>
        <w:t xml:space="preserve"> </w:t>
      </w:r>
      <w:r w:rsidR="00C953B3">
        <w:rPr>
          <w:rFonts w:cs="Arial"/>
          <w:lang w:val="en-GB"/>
        </w:rPr>
        <w:t xml:space="preserve">Please note that this umbrella term </w:t>
      </w:r>
      <w:r w:rsidR="0031507D">
        <w:rPr>
          <w:rFonts w:cs="Arial"/>
          <w:lang w:val="en-GB"/>
        </w:rPr>
        <w:t xml:space="preserve">for a non-cisgender and non-heterosexual individual </w:t>
      </w:r>
      <w:r w:rsidR="00C953B3">
        <w:rPr>
          <w:rFonts w:cs="Arial"/>
          <w:lang w:val="en-GB"/>
        </w:rPr>
        <w:t>is contested</w:t>
      </w:r>
      <w:r w:rsidR="0031507D">
        <w:rPr>
          <w:rFonts w:cs="Arial"/>
          <w:lang w:val="en-GB"/>
        </w:rPr>
        <w:t xml:space="preserve"> and therefore not accepted by all individuals who it may characterise.</w:t>
      </w:r>
      <w:r w:rsidR="00C953B3">
        <w:rPr>
          <w:rFonts w:cs="Arial"/>
          <w:lang w:val="en-GB"/>
        </w:rPr>
        <w:t xml:space="preserve"> </w:t>
      </w:r>
      <w:r w:rsidR="0031507D">
        <w:rPr>
          <w:rFonts w:cs="Arial"/>
          <w:lang w:val="en-GB"/>
        </w:rPr>
        <w:t>This is due</w:t>
      </w:r>
      <w:r w:rsidR="00C953B3">
        <w:rPr>
          <w:rFonts w:cs="Arial"/>
          <w:lang w:val="en-GB"/>
        </w:rPr>
        <w:t xml:space="preserve"> to its </w:t>
      </w:r>
      <w:r w:rsidR="0031507D">
        <w:rPr>
          <w:rFonts w:cs="Arial"/>
          <w:lang w:val="en-GB"/>
        </w:rPr>
        <w:t>historically</w:t>
      </w:r>
      <w:r w:rsidR="00C953B3">
        <w:rPr>
          <w:rFonts w:cs="Arial"/>
          <w:lang w:val="en-GB"/>
        </w:rPr>
        <w:t xml:space="preserve"> derogatory nature</w:t>
      </w:r>
      <w:r w:rsidR="0031507D">
        <w:rPr>
          <w:rFonts w:cs="Arial"/>
          <w:lang w:val="en-GB"/>
        </w:rPr>
        <w:t>. H</w:t>
      </w:r>
      <w:r w:rsidR="00C953B3">
        <w:rPr>
          <w:rFonts w:cs="Arial"/>
          <w:lang w:val="en-GB"/>
        </w:rPr>
        <w:t>owever, recently, it is being</w:t>
      </w:r>
      <w:r w:rsidR="0031507D">
        <w:rPr>
          <w:rFonts w:cs="Arial"/>
          <w:lang w:val="en-GB"/>
        </w:rPr>
        <w:t xml:space="preserve"> deliberately</w:t>
      </w:r>
      <w:r w:rsidR="00C953B3">
        <w:rPr>
          <w:rFonts w:cs="Arial"/>
          <w:lang w:val="en-GB"/>
        </w:rPr>
        <w:t xml:space="preserve"> reclaimed by</w:t>
      </w:r>
      <w:r w:rsidR="0031507D">
        <w:rPr>
          <w:rFonts w:cs="Arial"/>
          <w:lang w:val="en-GB"/>
        </w:rPr>
        <w:t xml:space="preserve"> some branches of</w:t>
      </w:r>
      <w:r w:rsidR="00C953B3">
        <w:rPr>
          <w:rFonts w:cs="Arial"/>
          <w:lang w:val="en-GB"/>
        </w:rPr>
        <w:t xml:space="preserve"> the LGBT</w:t>
      </w:r>
      <w:r w:rsidR="0031507D">
        <w:rPr>
          <w:rFonts w:cs="Arial"/>
          <w:lang w:val="en-GB"/>
        </w:rPr>
        <w:t>Q+</w:t>
      </w:r>
      <w:r w:rsidR="00C953B3">
        <w:rPr>
          <w:rFonts w:cs="Arial"/>
          <w:lang w:val="en-GB"/>
        </w:rPr>
        <w:t xml:space="preserve"> community as an acceptable term</w:t>
      </w:r>
      <w:r w:rsidR="0031507D">
        <w:rPr>
          <w:rFonts w:cs="Arial"/>
          <w:lang w:val="en-GB"/>
        </w:rPr>
        <w:t>.</w:t>
      </w:r>
    </w:p>
    <w:p w14:paraId="27EB155C" w14:textId="7982664C" w:rsidR="00B92630" w:rsidRPr="00D84D56" w:rsidRDefault="00B92630" w:rsidP="0031507D">
      <w:pPr>
        <w:spacing w:before="160"/>
        <w:rPr>
          <w:rFonts w:cs="Arial"/>
          <w:lang w:val="en-GB"/>
        </w:rPr>
      </w:pPr>
      <w:r w:rsidRPr="00D84D56">
        <w:rPr>
          <w:rFonts w:cs="Arial"/>
          <w:b/>
          <w:lang w:val="en-GB"/>
        </w:rPr>
        <w:t>Sex</w:t>
      </w:r>
      <w:r w:rsidRPr="00D84D56">
        <w:rPr>
          <w:rFonts w:cs="Arial"/>
          <w:lang w:val="en-GB"/>
        </w:rPr>
        <w:t xml:space="preserve">: </w:t>
      </w:r>
      <w:r w:rsidR="0066310C" w:rsidRPr="00D84D56">
        <w:rPr>
          <w:rFonts w:cs="Arial"/>
          <w:lang w:val="en-GB"/>
        </w:rPr>
        <w:t>R</w:t>
      </w:r>
      <w:r w:rsidRPr="00D84D56">
        <w:rPr>
          <w:rFonts w:cs="Arial"/>
          <w:lang w:val="en-GB"/>
        </w:rPr>
        <w:t>efers to a person’s biology and is generally categori</w:t>
      </w:r>
      <w:r w:rsidR="009859F6">
        <w:rPr>
          <w:rFonts w:cs="Arial"/>
          <w:lang w:val="en-GB"/>
        </w:rPr>
        <w:t>s</w:t>
      </w:r>
      <w:r w:rsidRPr="00D84D56">
        <w:rPr>
          <w:rFonts w:cs="Arial"/>
          <w:lang w:val="en-GB"/>
        </w:rPr>
        <w:t>ed as male, female, or intersex.</w:t>
      </w:r>
    </w:p>
    <w:p w14:paraId="009F3222" w14:textId="0DFB02F5" w:rsidR="00E26A07" w:rsidRPr="00D84D56" w:rsidRDefault="00E26A07" w:rsidP="0031507D">
      <w:pPr>
        <w:spacing w:before="160"/>
        <w:rPr>
          <w:rFonts w:cs="Arial"/>
          <w:lang w:val="en-GB"/>
        </w:rPr>
      </w:pPr>
      <w:r w:rsidRPr="00D84D56">
        <w:rPr>
          <w:rFonts w:cs="Arial"/>
          <w:b/>
          <w:lang w:val="en-GB"/>
        </w:rPr>
        <w:t>Sexual identity/ orientation</w:t>
      </w:r>
      <w:r w:rsidRPr="00D84D56">
        <w:rPr>
          <w:rFonts w:cs="Arial"/>
          <w:lang w:val="en-GB"/>
        </w:rPr>
        <w:t xml:space="preserve">: </w:t>
      </w:r>
      <w:r w:rsidR="0066310C" w:rsidRPr="00D84D56">
        <w:rPr>
          <w:rFonts w:cs="Arial"/>
          <w:lang w:val="en-GB"/>
        </w:rPr>
        <w:t>R</w:t>
      </w:r>
      <w:r w:rsidRPr="00D84D56">
        <w:rPr>
          <w:rFonts w:cs="Arial"/>
          <w:lang w:val="en-GB"/>
        </w:rPr>
        <w:t xml:space="preserve">efers to the gender an individual is attracted to in relation to forming sexual and/ or romantic relationships: </w:t>
      </w:r>
      <w:r w:rsidR="00C953B3">
        <w:rPr>
          <w:rFonts w:cs="Arial"/>
          <w:lang w:val="en-GB"/>
        </w:rPr>
        <w:t>for example,</w:t>
      </w:r>
      <w:r w:rsidRPr="00D84D56">
        <w:rPr>
          <w:rFonts w:cs="Arial"/>
          <w:lang w:val="en-GB"/>
        </w:rPr>
        <w:t xml:space="preserve"> heterosexual, bisexual, homosexual. This is not the same with gender identity or the intersex condition.</w:t>
      </w:r>
    </w:p>
    <w:p w14:paraId="7652EF4E" w14:textId="1D87EFE3" w:rsidR="00B92630" w:rsidRPr="00D84D56" w:rsidRDefault="00B92630" w:rsidP="0031507D">
      <w:pPr>
        <w:spacing w:before="160"/>
        <w:rPr>
          <w:rFonts w:cs="Arial"/>
          <w:lang w:val="en-GB"/>
        </w:rPr>
      </w:pPr>
      <w:r w:rsidRPr="00D84D56">
        <w:rPr>
          <w:rFonts w:cs="Arial"/>
          <w:b/>
          <w:lang w:val="en-GB"/>
        </w:rPr>
        <w:t>Trans/ Transgender</w:t>
      </w:r>
      <w:r w:rsidR="0066310C" w:rsidRPr="00D84D56">
        <w:rPr>
          <w:rFonts w:cs="Arial"/>
          <w:lang w:val="en-GB"/>
        </w:rPr>
        <w:t>:</w:t>
      </w:r>
      <w:r w:rsidRPr="00D84D56">
        <w:rPr>
          <w:rFonts w:cs="Arial"/>
          <w:lang w:val="en-GB"/>
        </w:rPr>
        <w:t xml:space="preserve"> a </w:t>
      </w:r>
      <w:r w:rsidR="0066310C" w:rsidRPr="00D84D56">
        <w:rPr>
          <w:rFonts w:cs="Arial"/>
          <w:lang w:val="en-GB"/>
        </w:rPr>
        <w:t>term</w:t>
      </w:r>
      <w:r w:rsidRPr="00D84D56">
        <w:rPr>
          <w:rFonts w:cs="Arial"/>
          <w:lang w:val="en-GB"/>
        </w:rPr>
        <w:t xml:space="preserve"> describing persons whose gender identity or expression is different from that traditionally associated with the</w:t>
      </w:r>
      <w:r w:rsidR="00B264CB" w:rsidRPr="00D84D56">
        <w:rPr>
          <w:rFonts w:cs="Arial"/>
          <w:lang w:val="en-GB"/>
        </w:rPr>
        <w:t xml:space="preserve"> assigned at birth</w:t>
      </w:r>
      <w:r w:rsidRPr="00D84D56">
        <w:rPr>
          <w:rFonts w:cs="Arial"/>
          <w:lang w:val="en-GB"/>
        </w:rPr>
        <w:t xml:space="preserve"> sex.</w:t>
      </w:r>
      <w:r w:rsidR="00B264CB" w:rsidRPr="00D84D56">
        <w:rPr>
          <w:rFonts w:cs="Arial"/>
          <w:lang w:val="en-GB"/>
        </w:rPr>
        <w:t xml:space="preserve"> A trans person’s gender identity may or may not be binary: </w:t>
      </w:r>
      <w:r w:rsidR="00C953B3">
        <w:rPr>
          <w:rFonts w:cs="Arial"/>
          <w:lang w:val="en-GB"/>
        </w:rPr>
        <w:t>for example,</w:t>
      </w:r>
      <w:r w:rsidR="00B264CB" w:rsidRPr="00D84D56">
        <w:rPr>
          <w:rFonts w:cs="Arial"/>
          <w:lang w:val="en-GB"/>
        </w:rPr>
        <w:t xml:space="preserve"> a trans woman may identify as 100% woman.</w:t>
      </w:r>
      <w:r w:rsidRPr="00D84D56">
        <w:rPr>
          <w:rFonts w:cs="Arial"/>
          <w:lang w:val="en-GB"/>
        </w:rPr>
        <w:t xml:space="preserve"> </w:t>
      </w:r>
      <w:r w:rsidR="00B264CB" w:rsidRPr="00D84D56">
        <w:rPr>
          <w:rFonts w:cs="Arial"/>
          <w:lang w:val="en-GB"/>
        </w:rPr>
        <w:t>As a</w:t>
      </w:r>
      <w:r w:rsidRPr="00D84D56">
        <w:rPr>
          <w:rFonts w:cs="Arial"/>
          <w:lang w:val="en-GB"/>
        </w:rPr>
        <w:t>n umbrella term for people whose identity differs from what is typically associated with the sex they were assigned at birth or whose gender identity and/or expression is different from cultural expectations based on the sex they were assigned at birth. People under the trans umbrella may describe themselves using one or more of a wide variety of terms, including transgender.</w:t>
      </w:r>
      <w:r w:rsidR="00DB0D20" w:rsidRPr="00D84D56">
        <w:rPr>
          <w:rFonts w:cs="Arial"/>
          <w:lang w:val="en-GB"/>
        </w:rPr>
        <w:t xml:space="preserve"> </w:t>
      </w:r>
      <w:r w:rsidRPr="00D84D56">
        <w:rPr>
          <w:rFonts w:cs="Arial"/>
          <w:lang w:val="en-GB"/>
        </w:rPr>
        <w:t>Being transgender does not imply any specific sexual orientation. Therefore, transgender people may identify as straight, gay, lesbian, bisexual etc.</w:t>
      </w:r>
    </w:p>
    <w:p w14:paraId="66B382F0" w14:textId="77777777" w:rsidR="00B92630" w:rsidRPr="00D84D56" w:rsidRDefault="00B92630" w:rsidP="0031507D">
      <w:pPr>
        <w:spacing w:before="160"/>
        <w:rPr>
          <w:rFonts w:cs="Arial"/>
          <w:b/>
          <w:lang w:val="en-GB"/>
        </w:rPr>
      </w:pPr>
      <w:r w:rsidRPr="00D84D56">
        <w:rPr>
          <w:rFonts w:cs="Arial"/>
          <w:b/>
          <w:lang w:val="en-GB"/>
        </w:rPr>
        <w:t>Transgender female</w:t>
      </w:r>
      <w:r w:rsidRPr="00D84D56">
        <w:rPr>
          <w:rFonts w:cs="Arial"/>
          <w:lang w:val="en-GB"/>
        </w:rPr>
        <w:t>: People who were assigned male at birth however identify and live as a woman may use this term to describe themselves. They may shorten to trans woman. Some may also use MTF, an abbreviation for male-to-female. Some may prefer to simply be called women, without any modifier. It is best to ask which term an individual prefers.</w:t>
      </w:r>
    </w:p>
    <w:p w14:paraId="0FB32375" w14:textId="77777777" w:rsidR="00B92630" w:rsidRPr="00D84D56" w:rsidRDefault="00B92630" w:rsidP="0031507D">
      <w:pPr>
        <w:spacing w:before="160"/>
        <w:rPr>
          <w:rFonts w:cs="Arial"/>
          <w:b/>
          <w:lang w:val="en-GB"/>
        </w:rPr>
      </w:pPr>
      <w:r w:rsidRPr="00D84D56">
        <w:rPr>
          <w:rFonts w:cs="Arial"/>
          <w:b/>
          <w:lang w:val="en-GB"/>
        </w:rPr>
        <w:t>Transgender male</w:t>
      </w:r>
      <w:r w:rsidRPr="00D84D56">
        <w:rPr>
          <w:rFonts w:cs="Arial"/>
          <w:lang w:val="en-GB"/>
        </w:rPr>
        <w:t>: People who were assigned female at birth however identify and live as a man may use this term to describe themselves. They may shorten it to trans man. Some may also use FTM, an abbreviation for female-to-male. Some may prefer to simply be called men, without any modifier. It is best to ask which term an individual prefers.</w:t>
      </w:r>
    </w:p>
    <w:p w14:paraId="6663F30D" w14:textId="77777777" w:rsidR="00B92630" w:rsidRPr="00D84D56" w:rsidRDefault="00B92630" w:rsidP="0031507D">
      <w:pPr>
        <w:spacing w:before="160"/>
        <w:rPr>
          <w:rFonts w:cs="Arial"/>
          <w:lang w:val="en-GB"/>
        </w:rPr>
      </w:pPr>
      <w:r w:rsidRPr="00D84D56">
        <w:rPr>
          <w:rFonts w:cs="Arial"/>
          <w:b/>
          <w:lang w:val="en-GB"/>
        </w:rPr>
        <w:t>Transition/ Transitioning</w:t>
      </w:r>
      <w:r w:rsidRPr="00D84D56">
        <w:rPr>
          <w:rFonts w:cs="Arial"/>
          <w:lang w:val="en-GB"/>
        </w:rPr>
        <w:t xml:space="preserve">: This is the process of a person </w:t>
      </w:r>
      <w:r w:rsidR="00DB0D20" w:rsidRPr="00D84D56">
        <w:rPr>
          <w:rFonts w:cs="Arial"/>
          <w:lang w:val="en-GB"/>
        </w:rPr>
        <w:t>undergoes</w:t>
      </w:r>
      <w:r w:rsidRPr="00D84D56">
        <w:rPr>
          <w:rFonts w:cs="Arial"/>
          <w:lang w:val="en-GB"/>
        </w:rPr>
        <w:t xml:space="preserve"> to match their gender identity.</w:t>
      </w:r>
      <w:r w:rsidR="00DB0D20" w:rsidRPr="00D84D56">
        <w:rPr>
          <w:rFonts w:cs="Arial"/>
          <w:lang w:val="en-GB"/>
        </w:rPr>
        <w:t xml:space="preserve"> It can be social, medical, and/</w:t>
      </w:r>
      <w:r w:rsidR="001670CF" w:rsidRPr="00D84D56">
        <w:rPr>
          <w:rFonts w:cs="Arial"/>
          <w:lang w:val="en-GB"/>
        </w:rPr>
        <w:t xml:space="preserve"> </w:t>
      </w:r>
      <w:r w:rsidR="00DB0D20" w:rsidRPr="00D84D56">
        <w:rPr>
          <w:rFonts w:cs="Arial"/>
          <w:lang w:val="en-GB"/>
        </w:rPr>
        <w:t>or legal but not every person transitioning will choose to undergo all the above or in this order.</w:t>
      </w:r>
      <w:r w:rsidRPr="00D84D56">
        <w:rPr>
          <w:rFonts w:cs="Arial"/>
          <w:lang w:val="en-GB"/>
        </w:rPr>
        <w:t xml:space="preserve"> Examples of transitioning include telling friends, family and colleagues, changing name, asking people to use different pronouns and changing the way their gender is expressed. This may involve medical assistance such as hormone therapy and surgery or may not.</w:t>
      </w:r>
    </w:p>
    <w:p w14:paraId="237038BA" w14:textId="77777777" w:rsidR="00B92630" w:rsidRPr="00D84D56" w:rsidRDefault="00B92630" w:rsidP="0031507D">
      <w:pPr>
        <w:spacing w:before="160"/>
        <w:rPr>
          <w:lang w:val="en-GB"/>
        </w:rPr>
      </w:pPr>
      <w:r w:rsidRPr="00D84D56">
        <w:rPr>
          <w:b/>
          <w:lang w:val="en-GB"/>
        </w:rPr>
        <w:t>Transphobia/ transphobic</w:t>
      </w:r>
      <w:r w:rsidRPr="00D84D56">
        <w:rPr>
          <w:lang w:val="en-GB"/>
        </w:rPr>
        <w:t xml:space="preserve">: </w:t>
      </w:r>
      <w:r w:rsidR="0066310C" w:rsidRPr="00D84D56">
        <w:rPr>
          <w:lang w:val="en-GB"/>
        </w:rPr>
        <w:t>V</w:t>
      </w:r>
      <w:r w:rsidRPr="00D84D56">
        <w:rPr>
          <w:lang w:val="en-GB"/>
        </w:rPr>
        <w:t>arious forms of negativity towards transgender individuals or as a social group and is the irrational hatred, intolerance, dislike and fear of transgender people.</w:t>
      </w:r>
    </w:p>
    <w:p w14:paraId="233D0CD7" w14:textId="77777777" w:rsidR="00B92630" w:rsidRPr="00D84D56" w:rsidRDefault="00B92630" w:rsidP="0031507D">
      <w:pPr>
        <w:spacing w:before="160"/>
        <w:rPr>
          <w:rFonts w:cs="Arial"/>
          <w:lang w:val="en-GB"/>
        </w:rPr>
      </w:pPr>
      <w:r w:rsidRPr="00D84D56">
        <w:rPr>
          <w:rFonts w:cs="Arial"/>
          <w:b/>
          <w:lang w:val="en-GB"/>
        </w:rPr>
        <w:t>Transsexual</w:t>
      </w:r>
      <w:r w:rsidRPr="00D84D56">
        <w:rPr>
          <w:rFonts w:cs="Arial"/>
          <w:lang w:val="en-GB"/>
        </w:rPr>
        <w:t>: Used in the Equality Act 2010 to define those who fall within the definition of people with the protected characteristic of gender reassignment, transsexual is an older term still preferred by some people who have transitioned to live as a different gender than the one society assigns them at birth. An overly clinical term that also focusses on sex rather than gender. Transgender is the preferred term.</w:t>
      </w:r>
    </w:p>
    <w:p w14:paraId="5A3181FC" w14:textId="5658680F" w:rsidR="00AA5992" w:rsidRPr="00D84D56" w:rsidRDefault="00B92630" w:rsidP="0031507D">
      <w:pPr>
        <w:spacing w:before="160"/>
        <w:rPr>
          <w:rFonts w:cs="Arial"/>
          <w:lang w:val="en-GB"/>
        </w:rPr>
        <w:sectPr w:rsidR="00AA5992" w:rsidRPr="00D84D56" w:rsidSect="00AA5992">
          <w:type w:val="continuous"/>
          <w:pgSz w:w="12240" w:h="15840"/>
          <w:pgMar w:top="1134" w:right="1134" w:bottom="1134" w:left="1134" w:header="720" w:footer="720" w:gutter="0"/>
          <w:cols w:num="2" w:space="720"/>
          <w:noEndnote/>
        </w:sectPr>
      </w:pPr>
      <w:r w:rsidRPr="00D84D56">
        <w:rPr>
          <w:rFonts w:cs="Arial"/>
          <w:b/>
          <w:lang w:val="en-GB"/>
        </w:rPr>
        <w:t>Transvestite</w:t>
      </w:r>
      <w:r w:rsidRPr="00D84D56">
        <w:rPr>
          <w:rFonts w:cs="Arial"/>
          <w:lang w:val="en-GB"/>
        </w:rPr>
        <w:t>: A term used to describe someone who cross dresses. It is considered a derogatory term by many trans people and is to be avoided unless someone self identifies in this way</w:t>
      </w:r>
      <w:r w:rsidR="0031507D">
        <w:rPr>
          <w:rFonts w:cs="Arial"/>
          <w:lang w:val="en-GB"/>
        </w:rPr>
        <w:t>.</w:t>
      </w:r>
    </w:p>
    <w:p w14:paraId="38547E48" w14:textId="77777777" w:rsidR="00AA5992" w:rsidRPr="00D84D56" w:rsidRDefault="00AA5992" w:rsidP="00AA5992">
      <w:pPr>
        <w:rPr>
          <w:rFonts w:cs="Arial"/>
          <w:lang w:val="en-GB"/>
        </w:rPr>
      </w:pPr>
    </w:p>
    <w:p w14:paraId="1C7D72EA" w14:textId="77777777" w:rsidR="00DD5FB8" w:rsidRPr="00D84D56" w:rsidRDefault="00B53C66" w:rsidP="00B53C66">
      <w:pPr>
        <w:pStyle w:val="Heading1"/>
        <w:numPr>
          <w:ilvl w:val="0"/>
          <w:numId w:val="0"/>
        </w:numPr>
        <w:rPr>
          <w:lang w:val="en-GB"/>
        </w:rPr>
      </w:pPr>
      <w:bookmarkStart w:id="18" w:name="_Appendix_3:_The"/>
      <w:bookmarkEnd w:id="18"/>
      <w:r w:rsidRPr="00D84D56">
        <w:rPr>
          <w:lang w:val="en-GB"/>
        </w:rPr>
        <w:br w:type="page"/>
      </w:r>
      <w:bookmarkStart w:id="19" w:name="_Toc19273745"/>
      <w:r w:rsidR="00DD5FB8" w:rsidRPr="00D84D56">
        <w:rPr>
          <w:lang w:val="en-GB"/>
        </w:rPr>
        <w:t xml:space="preserve">Appendix </w:t>
      </w:r>
      <w:r w:rsidR="00EF4AA1" w:rsidRPr="00D84D56">
        <w:rPr>
          <w:lang w:val="en-GB"/>
        </w:rPr>
        <w:t>3</w:t>
      </w:r>
      <w:r w:rsidR="00DD5FB8" w:rsidRPr="00D84D56">
        <w:rPr>
          <w:lang w:val="en-GB"/>
        </w:rPr>
        <w:t>: The transition process</w:t>
      </w:r>
      <w:bookmarkEnd w:id="19"/>
    </w:p>
    <w:p w14:paraId="13AE3DEC" w14:textId="77777777" w:rsidR="00DD5FB8" w:rsidRPr="00D84D56" w:rsidRDefault="00DD5FB8" w:rsidP="00C40BD0">
      <w:pPr>
        <w:rPr>
          <w:rFonts w:cs="Arial"/>
          <w:szCs w:val="22"/>
          <w:lang w:val="en-GB"/>
        </w:rPr>
      </w:pPr>
    </w:p>
    <w:p w14:paraId="1E8A4214" w14:textId="77777777" w:rsidR="00C40BD0" w:rsidRPr="00D84D56" w:rsidRDefault="00C40BD0" w:rsidP="00C40BD0">
      <w:pPr>
        <w:tabs>
          <w:tab w:val="num" w:pos="-567"/>
        </w:tabs>
        <w:autoSpaceDE w:val="0"/>
        <w:autoSpaceDN w:val="0"/>
        <w:adjustRightInd w:val="0"/>
        <w:rPr>
          <w:rFonts w:cs="Arial"/>
          <w:color w:val="000000"/>
          <w:szCs w:val="22"/>
          <w:lang w:val="en-GB"/>
        </w:rPr>
      </w:pPr>
      <w:r w:rsidRPr="00D84D56">
        <w:rPr>
          <w:rFonts w:cs="Arial"/>
          <w:color w:val="000000"/>
          <w:szCs w:val="22"/>
          <w:lang w:val="en-GB"/>
        </w:rPr>
        <w:t>Th</w:t>
      </w:r>
      <w:r w:rsidR="00DD3D9E" w:rsidRPr="00D84D56">
        <w:rPr>
          <w:rFonts w:cs="Arial"/>
          <w:color w:val="000000"/>
          <w:szCs w:val="22"/>
          <w:lang w:val="en-GB"/>
        </w:rPr>
        <w:t>is is the</w:t>
      </w:r>
      <w:r w:rsidRPr="00D84D56">
        <w:rPr>
          <w:rFonts w:cs="Arial"/>
          <w:color w:val="000000"/>
          <w:szCs w:val="22"/>
          <w:lang w:val="en-GB"/>
        </w:rPr>
        <w:t xml:space="preserve"> process someone takes to live as the gender which they identify with as opposed to the one they were born with. What this involves varies from individual to individual. </w:t>
      </w:r>
      <w:r w:rsidR="00DD3D9E" w:rsidRPr="00D84D56">
        <w:rPr>
          <w:rFonts w:cs="Arial"/>
          <w:color w:val="000000"/>
          <w:szCs w:val="22"/>
          <w:lang w:val="en-GB"/>
        </w:rPr>
        <w:t>Largely speaking, this is a threefold process: social, medical, and legal. However, not every person transitioning will go through all these steps or in this order.</w:t>
      </w:r>
    </w:p>
    <w:p w14:paraId="3915CDB6" w14:textId="77777777" w:rsidR="00C40BD0" w:rsidRPr="00D84D56" w:rsidRDefault="00C40BD0" w:rsidP="00C40BD0">
      <w:pPr>
        <w:tabs>
          <w:tab w:val="num" w:pos="-567"/>
        </w:tabs>
        <w:autoSpaceDE w:val="0"/>
        <w:autoSpaceDN w:val="0"/>
        <w:adjustRightInd w:val="0"/>
        <w:rPr>
          <w:rFonts w:cs="Arial"/>
          <w:color w:val="000000"/>
          <w:szCs w:val="22"/>
          <w:lang w:val="en-GB"/>
        </w:rPr>
      </w:pPr>
      <w:r w:rsidRPr="00D84D56">
        <w:rPr>
          <w:rFonts w:cs="Arial"/>
          <w:color w:val="000000"/>
          <w:szCs w:val="22"/>
          <w:lang w:val="en-GB"/>
        </w:rPr>
        <w:tab/>
      </w:r>
    </w:p>
    <w:p w14:paraId="14818DCB" w14:textId="1DEE3EB2" w:rsidR="00C40BD0" w:rsidRPr="00D84D56" w:rsidRDefault="00DD3D9E" w:rsidP="00D4295B">
      <w:pPr>
        <w:tabs>
          <w:tab w:val="num" w:pos="-567"/>
        </w:tabs>
        <w:autoSpaceDE w:val="0"/>
        <w:autoSpaceDN w:val="0"/>
        <w:adjustRightInd w:val="0"/>
        <w:rPr>
          <w:rFonts w:cs="Arial"/>
          <w:color w:val="000000"/>
          <w:szCs w:val="22"/>
          <w:lang w:val="en-GB"/>
        </w:rPr>
      </w:pPr>
      <w:r w:rsidRPr="00D84D56">
        <w:rPr>
          <w:rFonts w:cs="Arial"/>
          <w:color w:val="000000"/>
          <w:szCs w:val="22"/>
          <w:lang w:val="en-GB"/>
        </w:rPr>
        <w:t>From the above, it should become clear</w:t>
      </w:r>
      <w:r w:rsidR="00C40BD0" w:rsidRPr="00D84D56">
        <w:rPr>
          <w:rFonts w:cs="Arial"/>
          <w:color w:val="000000"/>
          <w:szCs w:val="22"/>
          <w:lang w:val="en-GB"/>
        </w:rPr>
        <w:t xml:space="preserve"> that someone does not need to have undergone surgery or be under any kind of medical supervision to be classed and protected as trans under the Equality Act 2010. When an individual decides to live in their acquired gender</w:t>
      </w:r>
      <w:r w:rsidR="009859F6">
        <w:rPr>
          <w:rFonts w:cs="Arial"/>
          <w:color w:val="000000"/>
          <w:szCs w:val="22"/>
          <w:lang w:val="en-GB"/>
        </w:rPr>
        <w:t>,</w:t>
      </w:r>
      <w:r w:rsidR="00C40BD0" w:rsidRPr="00D84D56">
        <w:rPr>
          <w:rFonts w:cs="Arial"/>
          <w:color w:val="000000"/>
          <w:szCs w:val="22"/>
          <w:lang w:val="en-GB"/>
        </w:rPr>
        <w:t xml:space="preserve"> they have made a social transition.</w:t>
      </w:r>
    </w:p>
    <w:p w14:paraId="492973F2" w14:textId="77777777" w:rsidR="00D4295B" w:rsidRPr="00D84D56" w:rsidRDefault="00D4295B" w:rsidP="00D4295B">
      <w:pPr>
        <w:rPr>
          <w:rFonts w:cs="Arial"/>
          <w:szCs w:val="22"/>
          <w:lang w:val="en-GB"/>
        </w:rPr>
      </w:pPr>
    </w:p>
    <w:p w14:paraId="5651E487" w14:textId="77777777" w:rsidR="00D4295B" w:rsidRPr="00E9012F" w:rsidRDefault="00D4295B" w:rsidP="00E9012F">
      <w:pPr>
        <w:pStyle w:val="ListParagraph"/>
        <w:numPr>
          <w:ilvl w:val="0"/>
          <w:numId w:val="35"/>
        </w:numPr>
        <w:ind w:left="360"/>
        <w:rPr>
          <w:b/>
          <w:lang w:val="en-GB"/>
        </w:rPr>
      </w:pPr>
      <w:r w:rsidRPr="00E9012F">
        <w:rPr>
          <w:b/>
          <w:lang w:val="en-GB"/>
        </w:rPr>
        <w:t>Social – Medical – Legal Transitions</w:t>
      </w:r>
    </w:p>
    <w:p w14:paraId="6F80B15C" w14:textId="77777777" w:rsidR="00E9012F" w:rsidRDefault="00E9012F" w:rsidP="00D4295B">
      <w:pPr>
        <w:rPr>
          <w:rFonts w:cs="Arial"/>
          <w:szCs w:val="22"/>
          <w:lang w:val="en-GB"/>
        </w:rPr>
      </w:pPr>
    </w:p>
    <w:p w14:paraId="1EB8F22D" w14:textId="316E4CAF" w:rsidR="00D4295B" w:rsidRPr="00D84D56" w:rsidRDefault="00D4295B" w:rsidP="00D4295B">
      <w:pPr>
        <w:rPr>
          <w:rFonts w:cs="Arial"/>
          <w:szCs w:val="22"/>
          <w:lang w:val="en-GB"/>
        </w:rPr>
      </w:pPr>
      <w:r w:rsidRPr="00D84D56">
        <w:rPr>
          <w:rFonts w:cs="Arial"/>
          <w:szCs w:val="22"/>
          <w:lang w:val="en-GB"/>
        </w:rPr>
        <w:t>Th</w:t>
      </w:r>
      <w:r w:rsidR="008223BB" w:rsidRPr="00D84D56">
        <w:rPr>
          <w:rFonts w:cs="Arial"/>
          <w:szCs w:val="22"/>
          <w:lang w:val="en-GB"/>
        </w:rPr>
        <w:t xml:space="preserve">is section </w:t>
      </w:r>
      <w:r w:rsidRPr="00D84D56">
        <w:rPr>
          <w:rFonts w:cs="Arial"/>
          <w:szCs w:val="22"/>
          <w:lang w:val="en-GB"/>
        </w:rPr>
        <w:t xml:space="preserve">is intended to illustrate some </w:t>
      </w:r>
      <w:r w:rsidR="008223BB" w:rsidRPr="00D84D56">
        <w:rPr>
          <w:rFonts w:cs="Arial"/>
          <w:szCs w:val="22"/>
          <w:lang w:val="en-GB"/>
        </w:rPr>
        <w:t>individuals’</w:t>
      </w:r>
      <w:r w:rsidRPr="00D84D56">
        <w:rPr>
          <w:rFonts w:cs="Arial"/>
          <w:szCs w:val="22"/>
          <w:lang w:val="en-GB"/>
        </w:rPr>
        <w:t xml:space="preserve"> transition journey. </w:t>
      </w:r>
      <w:r w:rsidR="008223BB" w:rsidRPr="00D84D56">
        <w:rPr>
          <w:rFonts w:cs="Arial"/>
          <w:szCs w:val="22"/>
          <w:lang w:val="en-GB"/>
        </w:rPr>
        <w:t>However, from those trans people who decide to transition, e</w:t>
      </w:r>
      <w:r w:rsidRPr="00D84D56">
        <w:rPr>
          <w:rFonts w:cs="Arial"/>
          <w:szCs w:val="22"/>
          <w:lang w:val="en-GB"/>
        </w:rPr>
        <w:t>ach individual’s situation will vary depending on a range of factors</w:t>
      </w:r>
      <w:r w:rsidR="008223BB" w:rsidRPr="00D84D56">
        <w:rPr>
          <w:rFonts w:cs="Arial"/>
          <w:szCs w:val="22"/>
          <w:lang w:val="en-GB"/>
        </w:rPr>
        <w:t>, such as</w:t>
      </w:r>
      <w:r w:rsidRPr="00D84D56">
        <w:rPr>
          <w:rFonts w:cs="Arial"/>
          <w:szCs w:val="22"/>
          <w:lang w:val="en-GB"/>
        </w:rPr>
        <w:t xml:space="preserve"> whether the</w:t>
      </w:r>
      <w:r w:rsidR="008223BB" w:rsidRPr="00D84D56">
        <w:rPr>
          <w:rFonts w:cs="Arial"/>
          <w:szCs w:val="22"/>
          <w:lang w:val="en-GB"/>
        </w:rPr>
        <w:t>y are willing to undergo any</w:t>
      </w:r>
      <w:r w:rsidRPr="00D84D56">
        <w:rPr>
          <w:rFonts w:cs="Arial"/>
          <w:szCs w:val="22"/>
          <w:lang w:val="en-GB"/>
        </w:rPr>
        <w:t xml:space="preserve"> medical procedures, whether they are receiving medical assistance privately or </w:t>
      </w:r>
      <w:r w:rsidR="008223BB" w:rsidRPr="00D84D56">
        <w:rPr>
          <w:rFonts w:cs="Arial"/>
          <w:szCs w:val="22"/>
          <w:lang w:val="en-GB"/>
        </w:rPr>
        <w:t>by</w:t>
      </w:r>
      <w:r w:rsidRPr="00D84D56">
        <w:rPr>
          <w:rFonts w:cs="Arial"/>
          <w:szCs w:val="22"/>
          <w:lang w:val="en-GB"/>
        </w:rPr>
        <w:t xml:space="preserve"> the NHS</w:t>
      </w:r>
      <w:r w:rsidR="008223BB" w:rsidRPr="00D84D56">
        <w:rPr>
          <w:rFonts w:cs="Arial"/>
          <w:szCs w:val="22"/>
          <w:lang w:val="en-GB"/>
        </w:rPr>
        <w:t xml:space="preserve"> etc.</w:t>
      </w:r>
    </w:p>
    <w:p w14:paraId="382F67BD" w14:textId="77777777" w:rsidR="00D4295B" w:rsidRPr="00D84D56" w:rsidRDefault="00D4295B" w:rsidP="00D4295B">
      <w:pPr>
        <w:rPr>
          <w:rFonts w:cs="Arial"/>
          <w:szCs w:val="22"/>
          <w:lang w:val="en-GB"/>
        </w:rPr>
      </w:pPr>
    </w:p>
    <w:p w14:paraId="0E25AEF7" w14:textId="77777777" w:rsidR="008223BB" w:rsidRPr="00D84D56" w:rsidRDefault="008223BB" w:rsidP="00D4295B">
      <w:pPr>
        <w:rPr>
          <w:lang w:val="en-GB"/>
        </w:rPr>
      </w:pPr>
      <w:r w:rsidRPr="00D84D56">
        <w:rPr>
          <w:lang w:val="en-GB"/>
        </w:rPr>
        <w:t>The first step is usually where a person chooses to assert that their gender identity is not congruent with the identity they were assigned at birth. Each type of transition may include the following.</w:t>
      </w:r>
    </w:p>
    <w:p w14:paraId="56B5EEA1" w14:textId="77777777" w:rsidR="008223BB" w:rsidRPr="00D84D56" w:rsidRDefault="008223BB" w:rsidP="00D4295B">
      <w:pPr>
        <w:rPr>
          <w:rFonts w:cs="Arial"/>
          <w:szCs w:val="22"/>
          <w:lang w:val="en-GB"/>
        </w:rPr>
      </w:pPr>
    </w:p>
    <w:p w14:paraId="1C907979" w14:textId="77777777" w:rsidR="00D4295B" w:rsidRPr="00D84D56" w:rsidRDefault="00D4295B" w:rsidP="008223BB">
      <w:pPr>
        <w:rPr>
          <w:b/>
          <w:lang w:val="en-GB"/>
        </w:rPr>
      </w:pPr>
      <w:r w:rsidRPr="00D84D56">
        <w:rPr>
          <w:b/>
          <w:lang w:val="en-GB"/>
        </w:rPr>
        <w:t>Social Transition</w:t>
      </w:r>
    </w:p>
    <w:p w14:paraId="6D90C868" w14:textId="77777777" w:rsidR="00D4295B" w:rsidRPr="00D84D56" w:rsidRDefault="008223BB" w:rsidP="00C24046">
      <w:pPr>
        <w:pStyle w:val="ListParagraph"/>
        <w:numPr>
          <w:ilvl w:val="0"/>
          <w:numId w:val="17"/>
        </w:numPr>
        <w:spacing w:line="259" w:lineRule="auto"/>
        <w:ind w:left="567" w:hanging="567"/>
        <w:contextualSpacing/>
        <w:rPr>
          <w:lang w:val="en-GB"/>
        </w:rPr>
      </w:pPr>
      <w:r w:rsidRPr="00D84D56">
        <w:rPr>
          <w:lang w:val="en-GB"/>
        </w:rPr>
        <w:t>Telling</w:t>
      </w:r>
      <w:r w:rsidR="00D4295B" w:rsidRPr="00D84D56">
        <w:rPr>
          <w:lang w:val="en-GB"/>
        </w:rPr>
        <w:t xml:space="preserve"> </w:t>
      </w:r>
      <w:r w:rsidRPr="00D84D56">
        <w:rPr>
          <w:lang w:val="en-GB"/>
        </w:rPr>
        <w:t xml:space="preserve">their </w:t>
      </w:r>
      <w:r w:rsidR="00D4295B" w:rsidRPr="00D84D56">
        <w:rPr>
          <w:lang w:val="en-GB"/>
        </w:rPr>
        <w:t>friends, family</w:t>
      </w:r>
      <w:r w:rsidRPr="00D84D56">
        <w:rPr>
          <w:lang w:val="en-GB"/>
        </w:rPr>
        <w:t>, employers and colleagues.</w:t>
      </w:r>
    </w:p>
    <w:p w14:paraId="6665397C" w14:textId="77777777" w:rsidR="00D4295B" w:rsidRPr="00D84D56" w:rsidRDefault="008223BB" w:rsidP="00C24046">
      <w:pPr>
        <w:pStyle w:val="ListParagraph"/>
        <w:numPr>
          <w:ilvl w:val="0"/>
          <w:numId w:val="17"/>
        </w:numPr>
        <w:spacing w:line="259" w:lineRule="auto"/>
        <w:ind w:left="567" w:hanging="567"/>
        <w:contextualSpacing/>
        <w:rPr>
          <w:lang w:val="en-GB"/>
        </w:rPr>
      </w:pPr>
      <w:r w:rsidRPr="00D84D56">
        <w:rPr>
          <w:lang w:val="en-GB"/>
        </w:rPr>
        <w:t>C</w:t>
      </w:r>
      <w:r w:rsidR="00D4295B" w:rsidRPr="00D84D56">
        <w:rPr>
          <w:lang w:val="en-GB"/>
        </w:rPr>
        <w:t>hang</w:t>
      </w:r>
      <w:r w:rsidRPr="00D84D56">
        <w:rPr>
          <w:lang w:val="en-GB"/>
        </w:rPr>
        <w:t>ing</w:t>
      </w:r>
      <w:r w:rsidR="00D4295B" w:rsidRPr="00D84D56">
        <w:rPr>
          <w:lang w:val="en-GB"/>
        </w:rPr>
        <w:t xml:space="preserve"> their gender expression part</w:t>
      </w:r>
      <w:r w:rsidRPr="00D84D56">
        <w:rPr>
          <w:lang w:val="en-GB"/>
        </w:rPr>
        <w:t>-</w:t>
      </w:r>
      <w:r w:rsidR="00D4295B" w:rsidRPr="00D84D56">
        <w:rPr>
          <w:lang w:val="en-GB"/>
        </w:rPr>
        <w:t xml:space="preserve"> or full</w:t>
      </w:r>
      <w:r w:rsidRPr="00D84D56">
        <w:rPr>
          <w:lang w:val="en-GB"/>
        </w:rPr>
        <w:t>-</w:t>
      </w:r>
      <w:r w:rsidR="00D4295B" w:rsidRPr="00D84D56">
        <w:rPr>
          <w:lang w:val="en-GB"/>
        </w:rPr>
        <w:t>time</w:t>
      </w:r>
      <w:r w:rsidRPr="00D84D56">
        <w:rPr>
          <w:lang w:val="en-GB"/>
        </w:rPr>
        <w:t>.</w:t>
      </w:r>
    </w:p>
    <w:p w14:paraId="545B460D" w14:textId="77777777" w:rsidR="00D4295B" w:rsidRPr="00D84D56" w:rsidRDefault="008223BB" w:rsidP="00C24046">
      <w:pPr>
        <w:pStyle w:val="ListParagraph"/>
        <w:numPr>
          <w:ilvl w:val="0"/>
          <w:numId w:val="17"/>
        </w:numPr>
        <w:spacing w:line="259" w:lineRule="auto"/>
        <w:ind w:left="567" w:hanging="567"/>
        <w:contextualSpacing/>
        <w:rPr>
          <w:lang w:val="en-GB"/>
        </w:rPr>
      </w:pPr>
      <w:r w:rsidRPr="00D84D56">
        <w:rPr>
          <w:lang w:val="en-GB"/>
        </w:rPr>
        <w:t>C</w:t>
      </w:r>
      <w:r w:rsidR="00D4295B" w:rsidRPr="00D84D56">
        <w:rPr>
          <w:lang w:val="en-GB"/>
        </w:rPr>
        <w:t>hang</w:t>
      </w:r>
      <w:r w:rsidRPr="00D84D56">
        <w:rPr>
          <w:lang w:val="en-GB"/>
        </w:rPr>
        <w:t>ing</w:t>
      </w:r>
      <w:r w:rsidR="00D4295B" w:rsidRPr="00D84D56">
        <w:rPr>
          <w:lang w:val="en-GB"/>
        </w:rPr>
        <w:t xml:space="preserve"> their name</w:t>
      </w:r>
      <w:r w:rsidRPr="00D84D56">
        <w:rPr>
          <w:lang w:val="en-GB"/>
        </w:rPr>
        <w:t xml:space="preserve">, </w:t>
      </w:r>
      <w:r w:rsidR="00D4295B" w:rsidRPr="00D84D56">
        <w:rPr>
          <w:lang w:val="en-GB"/>
        </w:rPr>
        <w:t>pronouns</w:t>
      </w:r>
      <w:r w:rsidRPr="00D84D56">
        <w:rPr>
          <w:lang w:val="en-GB"/>
        </w:rPr>
        <w:t>,</w:t>
      </w:r>
      <w:r w:rsidR="00D4295B" w:rsidRPr="00D84D56">
        <w:rPr>
          <w:lang w:val="en-GB"/>
        </w:rPr>
        <w:t xml:space="preserve"> and </w:t>
      </w:r>
      <w:r w:rsidRPr="00D84D56">
        <w:rPr>
          <w:lang w:val="en-GB"/>
        </w:rPr>
        <w:t>ID</w:t>
      </w:r>
      <w:r w:rsidR="00D4295B" w:rsidRPr="00D84D56">
        <w:rPr>
          <w:lang w:val="en-GB"/>
        </w:rPr>
        <w:t xml:space="preserve"> documents</w:t>
      </w:r>
      <w:r w:rsidRPr="00D84D56">
        <w:rPr>
          <w:lang w:val="en-GB"/>
        </w:rPr>
        <w:t>.</w:t>
      </w:r>
    </w:p>
    <w:p w14:paraId="4C9B522A" w14:textId="6C969A58" w:rsidR="00D4295B" w:rsidRPr="00D84D56" w:rsidRDefault="008223BB" w:rsidP="00C24046">
      <w:pPr>
        <w:pStyle w:val="ListParagraph"/>
        <w:numPr>
          <w:ilvl w:val="0"/>
          <w:numId w:val="17"/>
        </w:numPr>
        <w:spacing w:line="259" w:lineRule="auto"/>
        <w:ind w:left="567" w:hanging="567"/>
        <w:contextualSpacing/>
        <w:rPr>
          <w:lang w:val="en-GB"/>
        </w:rPr>
      </w:pPr>
      <w:r w:rsidRPr="00D84D56">
        <w:rPr>
          <w:lang w:val="en-GB"/>
        </w:rPr>
        <w:t>At</w:t>
      </w:r>
      <w:r w:rsidR="00D4295B" w:rsidRPr="00D84D56">
        <w:rPr>
          <w:lang w:val="en-GB"/>
        </w:rPr>
        <w:t xml:space="preserve"> the person’s request, organisations that hold records change their records to reflect their new name (if appropriate) and gender</w:t>
      </w:r>
      <w:r w:rsidRPr="00D84D56">
        <w:rPr>
          <w:lang w:val="en-GB"/>
        </w:rPr>
        <w:t xml:space="preserve">. </w:t>
      </w:r>
      <w:r w:rsidR="009859F6">
        <w:rPr>
          <w:lang w:val="en-GB"/>
        </w:rPr>
        <w:t>For example,</w:t>
      </w:r>
      <w:r w:rsidRPr="00D84D56">
        <w:rPr>
          <w:lang w:val="en-GB"/>
        </w:rPr>
        <w:t xml:space="preserve"> with a formal proof of name change, a trans person can request copies of </w:t>
      </w:r>
      <w:r w:rsidR="00D4295B" w:rsidRPr="00D84D56">
        <w:rPr>
          <w:lang w:val="en-GB"/>
        </w:rPr>
        <w:t>their degree</w:t>
      </w:r>
      <w:r w:rsidRPr="00D84D56">
        <w:rPr>
          <w:lang w:val="en-GB"/>
        </w:rPr>
        <w:t>s</w:t>
      </w:r>
      <w:r w:rsidR="00D4295B" w:rsidRPr="00D84D56">
        <w:rPr>
          <w:lang w:val="en-GB"/>
        </w:rPr>
        <w:t xml:space="preserve"> or qualification certificates in their new name.</w:t>
      </w:r>
    </w:p>
    <w:p w14:paraId="7DABEF3E" w14:textId="77777777" w:rsidR="00D4295B" w:rsidRPr="00D84D56" w:rsidRDefault="00D4295B" w:rsidP="00C24046">
      <w:pPr>
        <w:ind w:left="567" w:hanging="567"/>
        <w:rPr>
          <w:lang w:val="en-GB"/>
        </w:rPr>
      </w:pPr>
    </w:p>
    <w:p w14:paraId="4806237F" w14:textId="77777777" w:rsidR="00D4295B" w:rsidRPr="00D84D56" w:rsidRDefault="00D4295B" w:rsidP="008223BB">
      <w:pPr>
        <w:rPr>
          <w:b/>
          <w:lang w:val="en-GB"/>
        </w:rPr>
      </w:pPr>
      <w:r w:rsidRPr="00D84D56">
        <w:rPr>
          <w:b/>
          <w:lang w:val="en-GB"/>
        </w:rPr>
        <w:t>Medical Transition</w:t>
      </w:r>
    </w:p>
    <w:p w14:paraId="2E8C9049" w14:textId="77777777" w:rsidR="00D4295B" w:rsidRPr="00D84D56" w:rsidRDefault="008223BB" w:rsidP="00C24046">
      <w:pPr>
        <w:pStyle w:val="ListParagraph"/>
        <w:numPr>
          <w:ilvl w:val="0"/>
          <w:numId w:val="18"/>
        </w:numPr>
        <w:spacing w:line="259" w:lineRule="auto"/>
        <w:ind w:left="567" w:hanging="567"/>
        <w:contextualSpacing/>
        <w:rPr>
          <w:lang w:val="en-GB"/>
        </w:rPr>
      </w:pPr>
      <w:r w:rsidRPr="00D84D56">
        <w:rPr>
          <w:lang w:val="en-GB"/>
        </w:rPr>
        <w:t>Being</w:t>
      </w:r>
      <w:r w:rsidR="00D4295B" w:rsidRPr="00D84D56">
        <w:rPr>
          <w:lang w:val="en-GB"/>
        </w:rPr>
        <w:t xml:space="preserve"> referr</w:t>
      </w:r>
      <w:r w:rsidRPr="00D84D56">
        <w:rPr>
          <w:lang w:val="en-GB"/>
        </w:rPr>
        <w:t>ed</w:t>
      </w:r>
      <w:r w:rsidR="00D4295B" w:rsidRPr="00D84D56">
        <w:rPr>
          <w:lang w:val="en-GB"/>
        </w:rPr>
        <w:t xml:space="preserve"> to</w:t>
      </w:r>
      <w:r w:rsidRPr="00D84D56">
        <w:rPr>
          <w:lang w:val="en-GB"/>
        </w:rPr>
        <w:t xml:space="preserve"> and being placed on a waiting list for</w:t>
      </w:r>
      <w:r w:rsidR="00D4295B" w:rsidRPr="00D84D56">
        <w:rPr>
          <w:lang w:val="en-GB"/>
        </w:rPr>
        <w:t xml:space="preserve"> a gender identity clinic.</w:t>
      </w:r>
      <w:r w:rsidRPr="00D84D56">
        <w:rPr>
          <w:lang w:val="en-GB"/>
        </w:rPr>
        <w:t xml:space="preserve"> Waiting times can vary</w:t>
      </w:r>
      <w:r w:rsidR="00590452" w:rsidRPr="00D84D56">
        <w:rPr>
          <w:lang w:val="en-GB"/>
        </w:rPr>
        <w:t xml:space="preserve"> and cause issues.</w:t>
      </w:r>
    </w:p>
    <w:p w14:paraId="61880F7E" w14:textId="77777777" w:rsidR="00D4295B" w:rsidRPr="00D84D56" w:rsidRDefault="00590452" w:rsidP="00C24046">
      <w:pPr>
        <w:pStyle w:val="ListParagraph"/>
        <w:numPr>
          <w:ilvl w:val="0"/>
          <w:numId w:val="18"/>
        </w:numPr>
        <w:spacing w:line="259" w:lineRule="auto"/>
        <w:ind w:left="567" w:hanging="567"/>
        <w:contextualSpacing/>
        <w:rPr>
          <w:lang w:val="en-GB"/>
        </w:rPr>
      </w:pPr>
      <w:r w:rsidRPr="00D84D56">
        <w:rPr>
          <w:lang w:val="en-GB"/>
        </w:rPr>
        <w:t>Th</w:t>
      </w:r>
      <w:r w:rsidR="00D4295B" w:rsidRPr="00D84D56">
        <w:rPr>
          <w:lang w:val="en-GB"/>
        </w:rPr>
        <w:t>e person may be diagnosed with gender dysphoria.</w:t>
      </w:r>
    </w:p>
    <w:p w14:paraId="3BC73FD9" w14:textId="77777777" w:rsidR="00D4295B" w:rsidRPr="00D84D56" w:rsidRDefault="00590452" w:rsidP="00C24046">
      <w:pPr>
        <w:pStyle w:val="ListParagraph"/>
        <w:numPr>
          <w:ilvl w:val="0"/>
          <w:numId w:val="18"/>
        </w:numPr>
        <w:spacing w:line="259" w:lineRule="auto"/>
        <w:ind w:left="567" w:hanging="567"/>
        <w:contextualSpacing/>
        <w:rPr>
          <w:lang w:val="en-GB"/>
        </w:rPr>
      </w:pPr>
      <w:r w:rsidRPr="00D84D56">
        <w:rPr>
          <w:lang w:val="en-GB"/>
        </w:rPr>
        <w:t>B</w:t>
      </w:r>
      <w:r w:rsidR="00D4295B" w:rsidRPr="00D84D56">
        <w:rPr>
          <w:lang w:val="en-GB"/>
        </w:rPr>
        <w:t>egin</w:t>
      </w:r>
      <w:r w:rsidRPr="00D84D56">
        <w:rPr>
          <w:lang w:val="en-GB"/>
        </w:rPr>
        <w:t>ning</w:t>
      </w:r>
      <w:r w:rsidR="00D4295B" w:rsidRPr="00D84D56">
        <w:rPr>
          <w:lang w:val="en-GB"/>
        </w:rPr>
        <w:t xml:space="preserve"> hormone therapy.</w:t>
      </w:r>
    </w:p>
    <w:p w14:paraId="65E930F6" w14:textId="77777777" w:rsidR="00D4295B" w:rsidRPr="00D84D56" w:rsidRDefault="00590452" w:rsidP="00C24046">
      <w:pPr>
        <w:pStyle w:val="ListParagraph"/>
        <w:numPr>
          <w:ilvl w:val="0"/>
          <w:numId w:val="18"/>
        </w:numPr>
        <w:spacing w:line="259" w:lineRule="auto"/>
        <w:ind w:left="567" w:hanging="567"/>
        <w:contextualSpacing/>
        <w:rPr>
          <w:lang w:val="en-GB"/>
        </w:rPr>
      </w:pPr>
      <w:r w:rsidRPr="00D84D56">
        <w:rPr>
          <w:lang w:val="en-GB"/>
        </w:rPr>
        <w:t>Being</w:t>
      </w:r>
      <w:r w:rsidR="00D4295B" w:rsidRPr="00D84D56">
        <w:rPr>
          <w:lang w:val="en-GB"/>
        </w:rPr>
        <w:t xml:space="preserve"> referred for surgery.</w:t>
      </w:r>
    </w:p>
    <w:p w14:paraId="3E0831FF" w14:textId="77777777" w:rsidR="00D4295B" w:rsidRPr="00D84D56" w:rsidRDefault="00D4295B" w:rsidP="00D4295B">
      <w:pPr>
        <w:rPr>
          <w:lang w:val="en-GB"/>
        </w:rPr>
      </w:pPr>
    </w:p>
    <w:p w14:paraId="5B72DB4D" w14:textId="77777777" w:rsidR="00D4295B" w:rsidRPr="00D84D56" w:rsidRDefault="00D4295B" w:rsidP="00D4295B">
      <w:pPr>
        <w:rPr>
          <w:b/>
          <w:lang w:val="en-GB"/>
        </w:rPr>
      </w:pPr>
      <w:r w:rsidRPr="00D84D56">
        <w:rPr>
          <w:b/>
          <w:lang w:val="en-GB"/>
        </w:rPr>
        <w:t>Legal Transition</w:t>
      </w:r>
    </w:p>
    <w:p w14:paraId="605406BE" w14:textId="77777777" w:rsidR="00D4295B" w:rsidRPr="00D84D56" w:rsidRDefault="00687000" w:rsidP="00C24046">
      <w:pPr>
        <w:pStyle w:val="ListParagraph"/>
        <w:numPr>
          <w:ilvl w:val="0"/>
          <w:numId w:val="19"/>
        </w:numPr>
        <w:spacing w:line="259" w:lineRule="auto"/>
        <w:ind w:left="567" w:hanging="567"/>
        <w:contextualSpacing/>
        <w:rPr>
          <w:lang w:val="en-GB"/>
        </w:rPr>
      </w:pPr>
      <w:r w:rsidRPr="00D84D56">
        <w:rPr>
          <w:lang w:val="en-GB"/>
        </w:rPr>
        <w:t>A person diagnosed with gender dysphoria can seek to secure</w:t>
      </w:r>
      <w:r w:rsidR="00D4295B" w:rsidRPr="00D84D56">
        <w:rPr>
          <w:lang w:val="en-GB"/>
        </w:rPr>
        <w:t xml:space="preserve"> legal recognition of transition.</w:t>
      </w:r>
    </w:p>
    <w:p w14:paraId="129384D6" w14:textId="77777777" w:rsidR="00D4295B" w:rsidRPr="00D84D56" w:rsidRDefault="00D4295B" w:rsidP="00C24046">
      <w:pPr>
        <w:pStyle w:val="ListParagraph"/>
        <w:numPr>
          <w:ilvl w:val="0"/>
          <w:numId w:val="19"/>
        </w:numPr>
        <w:spacing w:line="259" w:lineRule="auto"/>
        <w:ind w:left="567" w:hanging="567"/>
        <w:contextualSpacing/>
        <w:rPr>
          <w:lang w:val="en-GB"/>
        </w:rPr>
      </w:pPr>
      <w:r w:rsidRPr="00D84D56">
        <w:rPr>
          <w:lang w:val="en-GB"/>
        </w:rPr>
        <w:t xml:space="preserve">After 2 years of living in their </w:t>
      </w:r>
      <w:r w:rsidR="00687000" w:rsidRPr="00D84D56">
        <w:rPr>
          <w:lang w:val="en-GB"/>
        </w:rPr>
        <w:t>acquired</w:t>
      </w:r>
      <w:r w:rsidRPr="00D84D56">
        <w:rPr>
          <w:lang w:val="en-GB"/>
        </w:rPr>
        <w:t xml:space="preserve"> gender, (whether or not they have undergone surgery) </w:t>
      </w:r>
      <w:r w:rsidR="00687000" w:rsidRPr="00D84D56">
        <w:rPr>
          <w:lang w:val="en-GB"/>
        </w:rPr>
        <w:t>they are</w:t>
      </w:r>
      <w:r w:rsidRPr="00D84D56">
        <w:rPr>
          <w:lang w:val="en-GB"/>
        </w:rPr>
        <w:t xml:space="preserve"> able to apply for a Gender Recognition Certificate (GRC).</w:t>
      </w:r>
    </w:p>
    <w:p w14:paraId="405BC91A" w14:textId="77777777" w:rsidR="00D4295B" w:rsidRPr="00D84D56" w:rsidRDefault="00D4295B" w:rsidP="00C24046">
      <w:pPr>
        <w:pStyle w:val="ListParagraph"/>
        <w:numPr>
          <w:ilvl w:val="0"/>
          <w:numId w:val="19"/>
        </w:numPr>
        <w:spacing w:line="259" w:lineRule="auto"/>
        <w:ind w:left="567" w:hanging="567"/>
        <w:contextualSpacing/>
        <w:rPr>
          <w:lang w:val="en-GB"/>
        </w:rPr>
      </w:pPr>
      <w:r w:rsidRPr="00D84D56">
        <w:rPr>
          <w:lang w:val="en-GB"/>
        </w:rPr>
        <w:t>If the person meets the requirements, a GRC is awarded and</w:t>
      </w:r>
      <w:r w:rsidR="00687000" w:rsidRPr="00D84D56">
        <w:rPr>
          <w:lang w:val="en-GB"/>
        </w:rPr>
        <w:t>,</w:t>
      </w:r>
      <w:r w:rsidRPr="00D84D56">
        <w:rPr>
          <w:lang w:val="en-GB"/>
        </w:rPr>
        <w:t xml:space="preserve"> if the</w:t>
      </w:r>
      <w:r w:rsidR="00687000" w:rsidRPr="00D84D56">
        <w:rPr>
          <w:lang w:val="en-GB"/>
        </w:rPr>
        <w:t>y</w:t>
      </w:r>
      <w:r w:rsidRPr="00D84D56">
        <w:rPr>
          <w:lang w:val="en-GB"/>
        </w:rPr>
        <w:t xml:space="preserve"> </w:t>
      </w:r>
      <w:r w:rsidR="00687000" w:rsidRPr="00D84D56">
        <w:rPr>
          <w:lang w:val="en-GB"/>
        </w:rPr>
        <w:t>were</w:t>
      </w:r>
      <w:r w:rsidRPr="00D84D56">
        <w:rPr>
          <w:lang w:val="en-GB"/>
        </w:rPr>
        <w:t xml:space="preserve"> born in the UK</w:t>
      </w:r>
      <w:r w:rsidR="00687000" w:rsidRPr="00D84D56">
        <w:rPr>
          <w:lang w:val="en-GB"/>
        </w:rPr>
        <w:t>,</w:t>
      </w:r>
      <w:r w:rsidRPr="00D84D56">
        <w:rPr>
          <w:lang w:val="en-GB"/>
        </w:rPr>
        <w:t xml:space="preserve"> a new birth certificate is issued.</w:t>
      </w:r>
    </w:p>
    <w:p w14:paraId="1C3ECF9A" w14:textId="77777777" w:rsidR="00D4295B" w:rsidRPr="00D84D56" w:rsidRDefault="00D4295B" w:rsidP="00C24046">
      <w:pPr>
        <w:pStyle w:val="ListParagraph"/>
        <w:numPr>
          <w:ilvl w:val="0"/>
          <w:numId w:val="19"/>
        </w:numPr>
        <w:spacing w:line="259" w:lineRule="auto"/>
        <w:ind w:left="567" w:hanging="567"/>
        <w:contextualSpacing/>
        <w:rPr>
          <w:lang w:val="en-GB"/>
        </w:rPr>
      </w:pPr>
      <w:r w:rsidRPr="00D84D56">
        <w:rPr>
          <w:lang w:val="en-GB"/>
        </w:rPr>
        <w:t>The person is now legally recognised in their self-identified gender. Legally</w:t>
      </w:r>
      <w:r w:rsidR="00687000" w:rsidRPr="00D84D56">
        <w:rPr>
          <w:lang w:val="en-GB"/>
        </w:rPr>
        <w:t>,</w:t>
      </w:r>
      <w:r w:rsidRPr="00D84D56">
        <w:rPr>
          <w:lang w:val="en-GB"/>
        </w:rPr>
        <w:t xml:space="preserve"> any documents and references that have not already been changed must now be.</w:t>
      </w:r>
    </w:p>
    <w:p w14:paraId="30AF02AA" w14:textId="77777777" w:rsidR="00D4295B" w:rsidRPr="00D84D56" w:rsidRDefault="00D4295B" w:rsidP="00D4295B">
      <w:pPr>
        <w:rPr>
          <w:rFonts w:cs="Arial"/>
          <w:b/>
          <w:lang w:val="en-GB"/>
        </w:rPr>
      </w:pPr>
    </w:p>
    <w:p w14:paraId="71B0AC7F" w14:textId="77777777" w:rsidR="00B87CDE" w:rsidRPr="00D84D56" w:rsidRDefault="00B87CDE">
      <w:pPr>
        <w:rPr>
          <w:b/>
          <w:szCs w:val="22"/>
          <w:lang w:val="en-GB" w:eastAsia="en-US"/>
        </w:rPr>
      </w:pPr>
      <w:r w:rsidRPr="00D84D56">
        <w:rPr>
          <w:lang w:val="en-GB"/>
        </w:rPr>
        <w:br w:type="page"/>
      </w:r>
    </w:p>
    <w:p w14:paraId="450604AE" w14:textId="24D7464D" w:rsidR="000D6563" w:rsidRPr="00E9012F" w:rsidRDefault="000D6563" w:rsidP="00E9012F">
      <w:pPr>
        <w:pStyle w:val="ListParagraph"/>
        <w:numPr>
          <w:ilvl w:val="0"/>
          <w:numId w:val="35"/>
        </w:numPr>
        <w:ind w:left="360"/>
        <w:rPr>
          <w:b/>
          <w:lang w:val="en-GB"/>
        </w:rPr>
      </w:pPr>
      <w:r w:rsidRPr="00E9012F">
        <w:rPr>
          <w:b/>
          <w:lang w:val="en-GB"/>
        </w:rPr>
        <w:t>Guidance on Supporting a Person who is Transitioning</w:t>
      </w:r>
    </w:p>
    <w:p w14:paraId="0E5D6EBF" w14:textId="77777777" w:rsidR="00E9012F" w:rsidRDefault="00E9012F" w:rsidP="00E9012F">
      <w:pPr>
        <w:ind w:left="360"/>
        <w:rPr>
          <w:rFonts w:cs="Arial"/>
          <w:b/>
          <w:lang w:val="en-GB"/>
        </w:rPr>
      </w:pPr>
    </w:p>
    <w:p w14:paraId="3A33EFA5" w14:textId="2AE78170" w:rsidR="00B728C6" w:rsidRPr="00D84D56" w:rsidRDefault="00B728C6" w:rsidP="00CF225E">
      <w:pPr>
        <w:numPr>
          <w:ilvl w:val="0"/>
          <w:numId w:val="31"/>
        </w:numPr>
        <w:rPr>
          <w:rFonts w:cs="Arial"/>
          <w:b/>
          <w:lang w:val="en-GB"/>
        </w:rPr>
      </w:pPr>
      <w:r w:rsidRPr="00D84D56">
        <w:rPr>
          <w:rFonts w:cs="Arial"/>
          <w:b/>
          <w:lang w:val="en-GB"/>
        </w:rPr>
        <w:t>Disclosure and initial meeting</w:t>
      </w:r>
    </w:p>
    <w:p w14:paraId="19E4C86D" w14:textId="0E5595C9" w:rsidR="000D6563" w:rsidRPr="00D84D56" w:rsidRDefault="00CF225E" w:rsidP="00B728C6">
      <w:pPr>
        <w:rPr>
          <w:rFonts w:cs="Arial"/>
          <w:lang w:val="en-GB"/>
        </w:rPr>
      </w:pPr>
      <w:r w:rsidRPr="00D84D56">
        <w:rPr>
          <w:rFonts w:cs="Arial"/>
          <w:lang w:val="en-GB"/>
        </w:rPr>
        <w:t xml:space="preserve">As soon as the </w:t>
      </w:r>
      <w:r w:rsidR="009859F6">
        <w:rPr>
          <w:rFonts w:cs="Arial"/>
          <w:lang w:val="en-GB"/>
        </w:rPr>
        <w:t xml:space="preserve">employee </w:t>
      </w:r>
      <w:r w:rsidRPr="00D84D56">
        <w:rPr>
          <w:rFonts w:cs="Arial"/>
          <w:lang w:val="en-GB"/>
        </w:rPr>
        <w:t>advises their manager of their intention to start a transition or gender reassignment process, a meeting should be organised between the manager and the staff member, who may be accompanied by a Trade Union representative, friend, or family member.</w:t>
      </w:r>
    </w:p>
    <w:p w14:paraId="5F0AF603" w14:textId="5CE67361" w:rsidR="00CF225E" w:rsidRPr="00D84D56" w:rsidRDefault="00CF225E" w:rsidP="000D6563">
      <w:pPr>
        <w:rPr>
          <w:rFonts w:cs="Arial"/>
          <w:lang w:val="en-GB"/>
        </w:rPr>
      </w:pPr>
    </w:p>
    <w:p w14:paraId="0E34C7E1" w14:textId="77777777" w:rsidR="00CF225E" w:rsidRPr="00D84D56" w:rsidRDefault="00CF225E" w:rsidP="00645F0A">
      <w:pPr>
        <w:jc w:val="both"/>
        <w:rPr>
          <w:rFonts w:cs="Arial"/>
          <w:szCs w:val="22"/>
          <w:lang w:val="en-GB"/>
        </w:rPr>
      </w:pPr>
      <w:r w:rsidRPr="00D84D56">
        <w:rPr>
          <w:rFonts w:cs="Arial"/>
          <w:lang w:val="en-GB"/>
        </w:rPr>
        <w:t xml:space="preserve">This meeting must be kept confidential and treated with sensitivity. </w:t>
      </w:r>
      <w:r w:rsidRPr="00D84D56">
        <w:rPr>
          <w:rFonts w:cs="Arial"/>
          <w:szCs w:val="22"/>
          <w:lang w:val="en-GB"/>
        </w:rPr>
        <w:t>Under no circumstances must any communication or actions be taken without the explicit consent of the individual. These action plans, together with any other notes of meetings and agreed actions, must be kept strictly confidential in the individual’s personal file. After a person has successfully transitioned into their new gender role these records should be destroyed. It is the responsibility of the record holder to destroy the records that they have made.</w:t>
      </w:r>
    </w:p>
    <w:p w14:paraId="428CBF76" w14:textId="7775BE8A" w:rsidR="001670CF" w:rsidRPr="00D84D56" w:rsidRDefault="001670CF" w:rsidP="00CF225E">
      <w:pPr>
        <w:rPr>
          <w:rFonts w:cs="Arial"/>
          <w:szCs w:val="22"/>
          <w:lang w:val="en-GB"/>
        </w:rPr>
      </w:pPr>
    </w:p>
    <w:p w14:paraId="37CDBC7D" w14:textId="77777777" w:rsidR="001670CF" w:rsidRPr="00D84D56" w:rsidRDefault="001670CF" w:rsidP="001670CF">
      <w:pPr>
        <w:rPr>
          <w:rFonts w:cs="Arial"/>
          <w:lang w:val="en-GB"/>
        </w:rPr>
      </w:pPr>
      <w:r w:rsidRPr="00D84D56">
        <w:rPr>
          <w:rFonts w:cs="Arial"/>
          <w:lang w:val="en-GB"/>
        </w:rPr>
        <w:t>At the meeting, the staff member should be:</w:t>
      </w:r>
    </w:p>
    <w:p w14:paraId="6AC4E3F2" w14:textId="77777777" w:rsidR="001670CF" w:rsidRPr="00D84D56" w:rsidRDefault="001670CF" w:rsidP="00C24046">
      <w:pPr>
        <w:numPr>
          <w:ilvl w:val="0"/>
          <w:numId w:val="14"/>
        </w:numPr>
        <w:ind w:left="567" w:hanging="567"/>
        <w:rPr>
          <w:rFonts w:cs="Arial"/>
          <w:lang w:val="en-GB"/>
        </w:rPr>
      </w:pPr>
      <w:r w:rsidRPr="00D84D56">
        <w:rPr>
          <w:rFonts w:cs="Arial"/>
          <w:lang w:val="en-GB"/>
        </w:rPr>
        <w:t>given reassurance that the Council will support them during the transition;</w:t>
      </w:r>
    </w:p>
    <w:p w14:paraId="1E69A145" w14:textId="77777777" w:rsidR="001670CF" w:rsidRPr="00D84D56" w:rsidRDefault="001670CF" w:rsidP="00C24046">
      <w:pPr>
        <w:numPr>
          <w:ilvl w:val="0"/>
          <w:numId w:val="14"/>
        </w:numPr>
        <w:ind w:left="567" w:hanging="567"/>
        <w:rPr>
          <w:rFonts w:cs="Arial"/>
          <w:lang w:val="en-GB"/>
        </w:rPr>
      </w:pPr>
      <w:r w:rsidRPr="00D84D56">
        <w:rPr>
          <w:rFonts w:cs="Arial"/>
          <w:lang w:val="en-GB"/>
        </w:rPr>
        <w:t>asked who may need to be informed and at what point;</w:t>
      </w:r>
    </w:p>
    <w:p w14:paraId="555C8C56" w14:textId="77777777" w:rsidR="001670CF" w:rsidRPr="00D84D56" w:rsidRDefault="001670CF" w:rsidP="00C24046">
      <w:pPr>
        <w:numPr>
          <w:ilvl w:val="0"/>
          <w:numId w:val="14"/>
        </w:numPr>
        <w:ind w:left="567" w:hanging="567"/>
        <w:rPr>
          <w:rFonts w:cs="Arial"/>
          <w:lang w:val="en-GB"/>
        </w:rPr>
      </w:pPr>
      <w:r w:rsidRPr="00D84D56">
        <w:rPr>
          <w:rFonts w:cs="Arial"/>
          <w:lang w:val="en-GB"/>
        </w:rPr>
        <w:t xml:space="preserve">explore the </w:t>
      </w:r>
      <w:r w:rsidRPr="00D84D56">
        <w:rPr>
          <w:rFonts w:cs="Arial"/>
          <w:b/>
          <w:lang w:val="en-GB"/>
        </w:rPr>
        <w:t>Suggested Template for a Transition Action Plan</w:t>
      </w:r>
      <w:r w:rsidRPr="00D84D56">
        <w:rPr>
          <w:rFonts w:cs="Arial"/>
          <w:lang w:val="en-GB"/>
        </w:rPr>
        <w:t>.</w:t>
      </w:r>
    </w:p>
    <w:p w14:paraId="2C99DAB3" w14:textId="0106C16A" w:rsidR="000D6563" w:rsidRPr="00D84D56" w:rsidRDefault="000D6563" w:rsidP="000D6563">
      <w:pPr>
        <w:rPr>
          <w:rFonts w:cs="Arial"/>
          <w:lang w:val="en-GB"/>
        </w:rPr>
      </w:pPr>
    </w:p>
    <w:p w14:paraId="538E3CBB" w14:textId="2449EB14" w:rsidR="00B728C6" w:rsidRPr="00D84D56" w:rsidRDefault="00B728C6" w:rsidP="001670CF">
      <w:pPr>
        <w:numPr>
          <w:ilvl w:val="0"/>
          <w:numId w:val="31"/>
        </w:numPr>
        <w:rPr>
          <w:rFonts w:cs="Arial"/>
          <w:b/>
          <w:lang w:val="en-GB"/>
        </w:rPr>
      </w:pPr>
      <w:r w:rsidRPr="00D84D56">
        <w:rPr>
          <w:rFonts w:cs="Arial"/>
          <w:b/>
          <w:lang w:val="en-GB"/>
        </w:rPr>
        <w:t>Wider, follow-up meeting</w:t>
      </w:r>
    </w:p>
    <w:p w14:paraId="5A80A8E4" w14:textId="28C974B0" w:rsidR="001670CF" w:rsidRPr="00D84D56" w:rsidRDefault="001670CF" w:rsidP="00B728C6">
      <w:pPr>
        <w:rPr>
          <w:rFonts w:cs="Arial"/>
          <w:lang w:val="en-GB"/>
        </w:rPr>
      </w:pPr>
      <w:r w:rsidRPr="00D84D56">
        <w:rPr>
          <w:rFonts w:cs="Arial"/>
          <w:lang w:val="en-GB"/>
        </w:rPr>
        <w:t>A</w:t>
      </w:r>
      <w:r w:rsidR="000D6563" w:rsidRPr="00D84D56">
        <w:rPr>
          <w:rFonts w:cs="Arial"/>
          <w:lang w:val="en-GB"/>
        </w:rPr>
        <w:t xml:space="preserve"> further meeting can be organised</w:t>
      </w:r>
      <w:r w:rsidRPr="00D84D56">
        <w:rPr>
          <w:rFonts w:cs="Arial"/>
          <w:lang w:val="en-GB"/>
        </w:rPr>
        <w:t>, where</w:t>
      </w:r>
      <w:r w:rsidR="000D6563" w:rsidRPr="00D84D56">
        <w:rPr>
          <w:rFonts w:cs="Arial"/>
          <w:lang w:val="en-GB"/>
        </w:rPr>
        <w:t xml:space="preserve"> (with the person’s permission), other relevant people (whose support and cooperation </w:t>
      </w:r>
      <w:r w:rsidRPr="00D84D56">
        <w:rPr>
          <w:rFonts w:cs="Arial"/>
          <w:lang w:val="en-GB"/>
        </w:rPr>
        <w:t>may</w:t>
      </w:r>
      <w:r w:rsidR="000D6563" w:rsidRPr="00D84D56">
        <w:rPr>
          <w:rFonts w:cs="Arial"/>
          <w:lang w:val="en-GB"/>
        </w:rPr>
        <w:t xml:space="preserve"> be necessary) should be invited.</w:t>
      </w:r>
    </w:p>
    <w:p w14:paraId="2567CDC9" w14:textId="3771DC61" w:rsidR="001670CF" w:rsidRPr="00D84D56" w:rsidRDefault="001670CF" w:rsidP="001670CF">
      <w:pPr>
        <w:rPr>
          <w:rFonts w:cs="Arial"/>
          <w:lang w:val="en-GB"/>
        </w:rPr>
      </w:pPr>
    </w:p>
    <w:p w14:paraId="14DC1104" w14:textId="6A2D3B49" w:rsidR="000D6563" w:rsidRPr="00D84D56" w:rsidRDefault="000D6563" w:rsidP="001670CF">
      <w:pPr>
        <w:rPr>
          <w:rFonts w:cs="Arial"/>
          <w:lang w:val="en-GB"/>
        </w:rPr>
      </w:pPr>
      <w:r w:rsidRPr="00D84D56">
        <w:rPr>
          <w:rFonts w:cs="Arial"/>
          <w:lang w:val="en-GB"/>
        </w:rPr>
        <w:t xml:space="preserve">Before this meeting convenes, it might be helpful to send invitees information (such as this guidance </w:t>
      </w:r>
      <w:r w:rsidR="001670CF" w:rsidRPr="00D84D56">
        <w:rPr>
          <w:rFonts w:cs="Arial"/>
          <w:lang w:val="en-GB"/>
        </w:rPr>
        <w:t xml:space="preserve">and policy </w:t>
      </w:r>
      <w:r w:rsidRPr="00D84D56">
        <w:rPr>
          <w:rFonts w:cs="Arial"/>
          <w:lang w:val="en-GB"/>
        </w:rPr>
        <w:t>and, with the person’s permission, a covering note explaining their intention). It is essential that this invitation includes a clear statement about confidentiality and the importance of not discussing the person’s transition with any</w:t>
      </w:r>
      <w:r w:rsidR="009859F6">
        <w:rPr>
          <w:rFonts w:cs="Arial"/>
          <w:lang w:val="en-GB"/>
        </w:rPr>
        <w:t>one else.</w:t>
      </w:r>
    </w:p>
    <w:p w14:paraId="1A4E59CF" w14:textId="0E42409A" w:rsidR="000D6563" w:rsidRPr="00D84D56" w:rsidRDefault="000D6563" w:rsidP="000D6563">
      <w:pPr>
        <w:rPr>
          <w:rFonts w:cs="Arial"/>
          <w:lang w:val="en-GB"/>
        </w:rPr>
      </w:pPr>
    </w:p>
    <w:p w14:paraId="11C5055B" w14:textId="77777777" w:rsidR="00B728C6" w:rsidRPr="00D84D56" w:rsidRDefault="00B728C6" w:rsidP="001670CF">
      <w:pPr>
        <w:numPr>
          <w:ilvl w:val="0"/>
          <w:numId w:val="31"/>
        </w:numPr>
        <w:rPr>
          <w:rFonts w:cs="Arial"/>
          <w:b/>
          <w:lang w:val="en-GB"/>
        </w:rPr>
      </w:pPr>
      <w:r w:rsidRPr="00D84D56">
        <w:rPr>
          <w:rFonts w:cs="Arial"/>
          <w:b/>
          <w:lang w:val="en-GB"/>
        </w:rPr>
        <w:t>Action plan</w:t>
      </w:r>
    </w:p>
    <w:p w14:paraId="5985864A" w14:textId="427F91F9" w:rsidR="001670CF" w:rsidRPr="00D84D56" w:rsidRDefault="001670CF" w:rsidP="00B728C6">
      <w:pPr>
        <w:rPr>
          <w:rFonts w:cs="Arial"/>
          <w:lang w:val="en-GB"/>
        </w:rPr>
      </w:pPr>
      <w:r w:rsidRPr="00D84D56">
        <w:rPr>
          <w:rFonts w:cs="Arial"/>
          <w:lang w:val="en-GB"/>
        </w:rPr>
        <w:t xml:space="preserve">The manager and </w:t>
      </w:r>
      <w:r w:rsidR="009859F6">
        <w:rPr>
          <w:rFonts w:cs="Arial"/>
          <w:lang w:val="en-GB"/>
        </w:rPr>
        <w:t>employee</w:t>
      </w:r>
      <w:r w:rsidRPr="00D84D56">
        <w:rPr>
          <w:rFonts w:cs="Arial"/>
          <w:lang w:val="en-GB"/>
        </w:rPr>
        <w:t xml:space="preserve"> will agree on an action plan around the transition process and any communications to third parties (if applicable). This action plan must be kept confidential and only be held in agreed and secure places.</w:t>
      </w:r>
    </w:p>
    <w:p w14:paraId="4AD8201B" w14:textId="30E48DAE" w:rsidR="001670CF" w:rsidRPr="00D84D56" w:rsidRDefault="001670CF" w:rsidP="000D6563">
      <w:pPr>
        <w:rPr>
          <w:rFonts w:cs="Arial"/>
          <w:lang w:val="en-GB"/>
        </w:rPr>
      </w:pPr>
    </w:p>
    <w:p w14:paraId="727DBBCB" w14:textId="77777777" w:rsidR="000D6563" w:rsidRPr="00D84D56" w:rsidRDefault="000D6563" w:rsidP="000D6563">
      <w:pPr>
        <w:rPr>
          <w:rFonts w:cs="Arial"/>
          <w:lang w:val="en-GB"/>
        </w:rPr>
      </w:pPr>
      <w:r w:rsidRPr="00D84D56">
        <w:rPr>
          <w:rFonts w:cs="Arial"/>
          <w:lang w:val="en-GB"/>
        </w:rPr>
        <w:t>The action plan should cover:</w:t>
      </w:r>
    </w:p>
    <w:p w14:paraId="5C9A3EB3" w14:textId="77777777" w:rsidR="000D6563" w:rsidRPr="00D84D56" w:rsidRDefault="001670CF" w:rsidP="00C24046">
      <w:pPr>
        <w:numPr>
          <w:ilvl w:val="0"/>
          <w:numId w:val="15"/>
        </w:numPr>
        <w:ind w:left="567" w:hanging="567"/>
        <w:rPr>
          <w:rFonts w:cs="Arial"/>
          <w:lang w:val="en-GB"/>
        </w:rPr>
      </w:pPr>
      <w:r w:rsidRPr="00D84D56">
        <w:rPr>
          <w:rFonts w:cs="Arial"/>
          <w:lang w:val="en-GB"/>
        </w:rPr>
        <w:t>Any doctor or specialist</w:t>
      </w:r>
      <w:r w:rsidR="000D6563" w:rsidRPr="00D84D56">
        <w:rPr>
          <w:rFonts w:cs="Arial"/>
          <w:lang w:val="en-GB"/>
        </w:rPr>
        <w:t xml:space="preserve"> appointment</w:t>
      </w:r>
      <w:r w:rsidRPr="00D84D56">
        <w:rPr>
          <w:rFonts w:cs="Arial"/>
          <w:lang w:val="en-GB"/>
        </w:rPr>
        <w:t xml:space="preserve"> dates.</w:t>
      </w:r>
    </w:p>
    <w:p w14:paraId="24643EDB" w14:textId="77777777" w:rsidR="000D6563" w:rsidRPr="00D84D56" w:rsidRDefault="001670CF" w:rsidP="00C24046">
      <w:pPr>
        <w:numPr>
          <w:ilvl w:val="0"/>
          <w:numId w:val="15"/>
        </w:numPr>
        <w:ind w:left="567" w:hanging="567"/>
        <w:rPr>
          <w:rFonts w:cs="Arial"/>
          <w:lang w:val="en-GB"/>
        </w:rPr>
      </w:pPr>
      <w:r w:rsidRPr="00D84D56">
        <w:rPr>
          <w:rFonts w:cs="Arial"/>
          <w:lang w:val="en-GB"/>
        </w:rPr>
        <w:t>The date(s) w</w:t>
      </w:r>
      <w:r w:rsidR="000D6563" w:rsidRPr="00D84D56">
        <w:rPr>
          <w:rFonts w:cs="Arial"/>
          <w:lang w:val="en-GB"/>
        </w:rPr>
        <w:t xml:space="preserve">hen the </w:t>
      </w:r>
      <w:r w:rsidRPr="00D84D56">
        <w:rPr>
          <w:rFonts w:cs="Arial"/>
          <w:lang w:val="en-GB"/>
        </w:rPr>
        <w:t>individual wishes to</w:t>
      </w:r>
      <w:r w:rsidR="000D6563" w:rsidRPr="00D84D56">
        <w:rPr>
          <w:rFonts w:cs="Arial"/>
          <w:lang w:val="en-GB"/>
        </w:rPr>
        <w:t xml:space="preserve"> commence </w:t>
      </w:r>
      <w:r w:rsidRPr="00D84D56">
        <w:rPr>
          <w:rFonts w:cs="Arial"/>
          <w:lang w:val="en-GB"/>
        </w:rPr>
        <w:t>their transition.</w:t>
      </w:r>
    </w:p>
    <w:p w14:paraId="34CC2BA1" w14:textId="77777777" w:rsidR="001670CF" w:rsidRPr="00D84D56" w:rsidRDefault="001670CF" w:rsidP="00C24046">
      <w:pPr>
        <w:numPr>
          <w:ilvl w:val="0"/>
          <w:numId w:val="15"/>
        </w:numPr>
        <w:ind w:left="567" w:hanging="567"/>
        <w:rPr>
          <w:rFonts w:cs="Arial"/>
          <w:lang w:val="en-GB"/>
        </w:rPr>
      </w:pPr>
      <w:r w:rsidRPr="00D84D56">
        <w:rPr>
          <w:rFonts w:cs="Arial"/>
          <w:lang w:val="en-GB"/>
        </w:rPr>
        <w:t>W</w:t>
      </w:r>
      <w:r w:rsidR="000D6563" w:rsidRPr="00D84D56">
        <w:rPr>
          <w:rFonts w:cs="Arial"/>
          <w:lang w:val="en-GB"/>
        </w:rPr>
        <w:t>hen</w:t>
      </w:r>
      <w:r w:rsidRPr="00D84D56">
        <w:rPr>
          <w:rFonts w:cs="Arial"/>
          <w:lang w:val="en-GB"/>
        </w:rPr>
        <w:t xml:space="preserve"> and how</w:t>
      </w:r>
      <w:r w:rsidR="000D6563" w:rsidRPr="00D84D56">
        <w:rPr>
          <w:rFonts w:cs="Arial"/>
          <w:lang w:val="en-GB"/>
        </w:rPr>
        <w:t xml:space="preserve"> to inform their </w:t>
      </w:r>
      <w:r w:rsidRPr="00D84D56">
        <w:rPr>
          <w:rFonts w:cs="Arial"/>
          <w:lang w:val="en-GB"/>
        </w:rPr>
        <w:t>colleagues, working partners, and clients.</w:t>
      </w:r>
    </w:p>
    <w:p w14:paraId="17B291B0" w14:textId="564B27F8" w:rsidR="000D6563" w:rsidRPr="00D84D56" w:rsidRDefault="001670CF" w:rsidP="00C24046">
      <w:pPr>
        <w:numPr>
          <w:ilvl w:val="0"/>
          <w:numId w:val="15"/>
        </w:numPr>
        <w:ind w:left="567" w:hanging="567"/>
        <w:rPr>
          <w:rFonts w:cs="Arial"/>
          <w:lang w:val="en-GB"/>
        </w:rPr>
      </w:pPr>
      <w:r w:rsidRPr="00D84D56">
        <w:rPr>
          <w:rFonts w:cs="Arial"/>
          <w:lang w:val="en-GB"/>
        </w:rPr>
        <w:t>W</w:t>
      </w:r>
      <w:r w:rsidR="000D6563" w:rsidRPr="00D84D56">
        <w:rPr>
          <w:rFonts w:cs="Arial"/>
          <w:lang w:val="en-GB"/>
        </w:rPr>
        <w:t xml:space="preserve">hether any </w:t>
      </w:r>
      <w:r w:rsidR="009859F6">
        <w:rPr>
          <w:rFonts w:cs="Arial"/>
          <w:lang w:val="en-GB"/>
        </w:rPr>
        <w:t>other employee</w:t>
      </w:r>
      <w:r w:rsidR="000D6563" w:rsidRPr="00D84D56">
        <w:rPr>
          <w:rFonts w:cs="Arial"/>
          <w:lang w:val="en-GB"/>
        </w:rPr>
        <w:t xml:space="preserve"> may need information on trans </w:t>
      </w:r>
      <w:r w:rsidR="008364FA" w:rsidRPr="00D84D56">
        <w:rPr>
          <w:rFonts w:cs="Arial"/>
          <w:lang w:val="en-GB"/>
        </w:rPr>
        <w:t xml:space="preserve">awareness and </w:t>
      </w:r>
      <w:r w:rsidR="000D6563" w:rsidRPr="00D84D56">
        <w:rPr>
          <w:rFonts w:cs="Arial"/>
          <w:lang w:val="en-GB"/>
        </w:rPr>
        <w:t>equality</w:t>
      </w:r>
      <w:r w:rsidRPr="00D84D56">
        <w:rPr>
          <w:rFonts w:cs="Arial"/>
          <w:lang w:val="en-GB"/>
        </w:rPr>
        <w:t>.</w:t>
      </w:r>
    </w:p>
    <w:p w14:paraId="388BCA61" w14:textId="67B75593" w:rsidR="000D6563" w:rsidRPr="00D84D56" w:rsidRDefault="001670CF" w:rsidP="00C24046">
      <w:pPr>
        <w:numPr>
          <w:ilvl w:val="0"/>
          <w:numId w:val="15"/>
        </w:numPr>
        <w:ind w:left="567" w:hanging="567"/>
        <w:rPr>
          <w:rFonts w:cs="Arial"/>
          <w:lang w:val="en-GB"/>
        </w:rPr>
      </w:pPr>
      <w:r w:rsidRPr="00D84D56">
        <w:rPr>
          <w:rFonts w:cs="Arial"/>
          <w:lang w:val="en-GB"/>
        </w:rPr>
        <w:t>Who will inform the above people (i.e.</w:t>
      </w:r>
      <w:r w:rsidR="000D6563" w:rsidRPr="00D84D56">
        <w:rPr>
          <w:rFonts w:cs="Arial"/>
          <w:lang w:val="en-GB"/>
        </w:rPr>
        <w:t xml:space="preserve"> the person </w:t>
      </w:r>
      <w:r w:rsidRPr="00D84D56">
        <w:rPr>
          <w:rFonts w:cs="Arial"/>
          <w:lang w:val="en-GB"/>
        </w:rPr>
        <w:t>themselves</w:t>
      </w:r>
      <w:r w:rsidR="000D6563" w:rsidRPr="00D84D56">
        <w:rPr>
          <w:rFonts w:cs="Arial"/>
          <w:lang w:val="en-GB"/>
        </w:rPr>
        <w:t xml:space="preserve"> in person or if they would prefer this to be done for them</w:t>
      </w:r>
      <w:r w:rsidRPr="00D84D56">
        <w:rPr>
          <w:rFonts w:cs="Arial"/>
          <w:lang w:val="en-GB"/>
        </w:rPr>
        <w:t xml:space="preserve"> and how</w:t>
      </w:r>
      <w:r w:rsidR="009859F6">
        <w:rPr>
          <w:rFonts w:cs="Arial"/>
          <w:lang w:val="en-GB"/>
        </w:rPr>
        <w:t xml:space="preserve"> it will be </w:t>
      </w:r>
      <w:r w:rsidR="00C24046">
        <w:rPr>
          <w:rFonts w:cs="Arial"/>
          <w:lang w:val="en-GB"/>
        </w:rPr>
        <w:t>achieved</w:t>
      </w:r>
      <w:r w:rsidRPr="00D84D56">
        <w:rPr>
          <w:rFonts w:cs="Arial"/>
          <w:lang w:val="en-GB"/>
        </w:rPr>
        <w:t>)</w:t>
      </w:r>
    </w:p>
    <w:p w14:paraId="65DFC2FA" w14:textId="77777777" w:rsidR="000D6563" w:rsidRPr="00D84D56" w:rsidRDefault="001670CF" w:rsidP="00C24046">
      <w:pPr>
        <w:numPr>
          <w:ilvl w:val="0"/>
          <w:numId w:val="15"/>
        </w:numPr>
        <w:ind w:left="567" w:hanging="567"/>
        <w:rPr>
          <w:rFonts w:cs="Arial"/>
          <w:lang w:val="en-GB"/>
        </w:rPr>
      </w:pPr>
      <w:r w:rsidRPr="00D84D56">
        <w:rPr>
          <w:rFonts w:cs="Arial"/>
          <w:lang w:val="en-GB"/>
        </w:rPr>
        <w:t xml:space="preserve">Whether </w:t>
      </w:r>
      <w:r w:rsidR="000D6563" w:rsidRPr="00D84D56">
        <w:rPr>
          <w:rFonts w:cs="Arial"/>
          <w:lang w:val="en-GB"/>
        </w:rPr>
        <w:t xml:space="preserve">the person </w:t>
      </w:r>
      <w:r w:rsidRPr="00D84D56">
        <w:rPr>
          <w:rFonts w:cs="Arial"/>
          <w:lang w:val="en-GB"/>
        </w:rPr>
        <w:t>intends</w:t>
      </w:r>
      <w:r w:rsidR="000D6563" w:rsidRPr="00D84D56">
        <w:rPr>
          <w:rFonts w:cs="Arial"/>
          <w:lang w:val="en-GB"/>
        </w:rPr>
        <w:t xml:space="preserve"> to start hormone therapy and/</w:t>
      </w:r>
      <w:r w:rsidRPr="00D84D56">
        <w:rPr>
          <w:rFonts w:cs="Arial"/>
          <w:lang w:val="en-GB"/>
        </w:rPr>
        <w:t xml:space="preserve"> </w:t>
      </w:r>
      <w:r w:rsidR="000D6563" w:rsidRPr="00D84D56">
        <w:rPr>
          <w:rFonts w:cs="Arial"/>
          <w:lang w:val="en-GB"/>
        </w:rPr>
        <w:t>or undergo surgery</w:t>
      </w:r>
      <w:r w:rsidR="008364FA" w:rsidRPr="00D84D56">
        <w:rPr>
          <w:rFonts w:cs="Arial"/>
          <w:lang w:val="en-GB"/>
        </w:rPr>
        <w:t xml:space="preserve"> and when.</w:t>
      </w:r>
    </w:p>
    <w:p w14:paraId="5447E58F" w14:textId="77777777" w:rsidR="000D6563" w:rsidRPr="00D84D56" w:rsidRDefault="008364FA" w:rsidP="00C24046">
      <w:pPr>
        <w:numPr>
          <w:ilvl w:val="0"/>
          <w:numId w:val="15"/>
        </w:numPr>
        <w:ind w:left="567" w:hanging="567"/>
        <w:rPr>
          <w:rFonts w:cs="Arial"/>
          <w:lang w:val="en-GB"/>
        </w:rPr>
      </w:pPr>
      <w:r w:rsidRPr="00D84D56">
        <w:rPr>
          <w:rFonts w:cs="Arial"/>
          <w:lang w:val="en-GB"/>
        </w:rPr>
        <w:t>W</w:t>
      </w:r>
      <w:r w:rsidR="000D6563" w:rsidRPr="00D84D56">
        <w:rPr>
          <w:rFonts w:cs="Arial"/>
          <w:lang w:val="en-GB"/>
        </w:rPr>
        <w:t xml:space="preserve">hether the member of staff </w:t>
      </w:r>
      <w:r w:rsidRPr="00D84D56">
        <w:rPr>
          <w:rFonts w:cs="Arial"/>
          <w:lang w:val="en-GB"/>
        </w:rPr>
        <w:t>wishes to</w:t>
      </w:r>
      <w:r w:rsidR="000D6563" w:rsidRPr="00D84D56">
        <w:rPr>
          <w:rFonts w:cs="Arial"/>
          <w:lang w:val="en-GB"/>
        </w:rPr>
        <w:t xml:space="preserve"> stay in their current position or </w:t>
      </w:r>
      <w:r w:rsidRPr="00D84D56">
        <w:rPr>
          <w:rFonts w:cs="Arial"/>
          <w:lang w:val="en-GB"/>
        </w:rPr>
        <w:t>whether they would</w:t>
      </w:r>
      <w:r w:rsidR="000D6563" w:rsidRPr="00D84D56">
        <w:rPr>
          <w:rFonts w:cs="Arial"/>
          <w:lang w:val="en-GB"/>
        </w:rPr>
        <w:t xml:space="preserve"> </w:t>
      </w:r>
      <w:r w:rsidRPr="00D84D56">
        <w:rPr>
          <w:rFonts w:cs="Arial"/>
          <w:lang w:val="en-GB"/>
        </w:rPr>
        <w:t xml:space="preserve">consider </w:t>
      </w:r>
      <w:r w:rsidR="000D6563" w:rsidRPr="00D84D56">
        <w:rPr>
          <w:rFonts w:cs="Arial"/>
          <w:lang w:val="en-GB"/>
        </w:rPr>
        <w:t>redeployment</w:t>
      </w:r>
      <w:r w:rsidRPr="00D84D56">
        <w:rPr>
          <w:rFonts w:cs="Arial"/>
          <w:lang w:val="en-GB"/>
        </w:rPr>
        <w:t>.</w:t>
      </w:r>
    </w:p>
    <w:p w14:paraId="653E78A3" w14:textId="77777777" w:rsidR="000D6563" w:rsidRPr="00D84D56" w:rsidRDefault="008364FA" w:rsidP="00C24046">
      <w:pPr>
        <w:numPr>
          <w:ilvl w:val="0"/>
          <w:numId w:val="15"/>
        </w:numPr>
        <w:ind w:left="567" w:hanging="567"/>
        <w:rPr>
          <w:rFonts w:cs="Arial"/>
          <w:lang w:val="en-GB"/>
        </w:rPr>
      </w:pPr>
      <w:r w:rsidRPr="00D84D56">
        <w:rPr>
          <w:rFonts w:cs="Arial"/>
          <w:lang w:val="en-GB"/>
        </w:rPr>
        <w:t>H</w:t>
      </w:r>
      <w:r w:rsidR="000D6563" w:rsidRPr="00D84D56">
        <w:rPr>
          <w:rFonts w:cs="Arial"/>
          <w:lang w:val="en-GB"/>
        </w:rPr>
        <w:t xml:space="preserve">ow </w:t>
      </w:r>
      <w:r w:rsidRPr="00D84D56">
        <w:rPr>
          <w:rFonts w:cs="Arial"/>
          <w:lang w:val="en-GB"/>
        </w:rPr>
        <w:t>disruption to work may be</w:t>
      </w:r>
      <w:r w:rsidR="000D6563" w:rsidRPr="00D84D56">
        <w:rPr>
          <w:rFonts w:cs="Arial"/>
          <w:lang w:val="en-GB"/>
        </w:rPr>
        <w:t xml:space="preserve"> reduce</w:t>
      </w:r>
      <w:r w:rsidRPr="00D84D56">
        <w:rPr>
          <w:rFonts w:cs="Arial"/>
          <w:lang w:val="en-GB"/>
        </w:rPr>
        <w:t>d</w:t>
      </w:r>
      <w:r w:rsidR="000D6563" w:rsidRPr="00D84D56">
        <w:rPr>
          <w:rFonts w:cs="Arial"/>
          <w:lang w:val="en-GB"/>
        </w:rPr>
        <w:t xml:space="preserve"> during any absence</w:t>
      </w:r>
      <w:r w:rsidRPr="00D84D56">
        <w:rPr>
          <w:rFonts w:cs="Arial"/>
          <w:lang w:val="en-GB"/>
        </w:rPr>
        <w:t>(s)</w:t>
      </w:r>
      <w:r w:rsidR="000D6563" w:rsidRPr="00D84D56">
        <w:rPr>
          <w:rFonts w:cs="Arial"/>
          <w:lang w:val="en-GB"/>
        </w:rPr>
        <w:t xml:space="preserve"> for surgery and recovery.</w:t>
      </w:r>
    </w:p>
    <w:p w14:paraId="28A6EF51" w14:textId="7E35ED01" w:rsidR="000D6563" w:rsidRPr="00D84D56" w:rsidRDefault="008364FA" w:rsidP="00C24046">
      <w:pPr>
        <w:numPr>
          <w:ilvl w:val="0"/>
          <w:numId w:val="15"/>
        </w:numPr>
        <w:ind w:left="567" w:hanging="567"/>
        <w:rPr>
          <w:rFonts w:cs="Arial"/>
          <w:lang w:val="en-GB"/>
        </w:rPr>
      </w:pPr>
      <w:r w:rsidRPr="00D84D56">
        <w:rPr>
          <w:rFonts w:cs="Arial"/>
          <w:lang w:val="en-GB"/>
        </w:rPr>
        <w:t>A</w:t>
      </w:r>
      <w:r w:rsidR="000D6563" w:rsidRPr="00D84D56">
        <w:rPr>
          <w:rFonts w:cs="Arial"/>
          <w:lang w:val="en-GB"/>
        </w:rPr>
        <w:t>ny changes to records and systems that will be required</w:t>
      </w:r>
      <w:r w:rsidRPr="00D84D56">
        <w:rPr>
          <w:rFonts w:cs="Arial"/>
          <w:lang w:val="en-GB"/>
        </w:rPr>
        <w:t xml:space="preserve"> and when. Please </w:t>
      </w:r>
      <w:r w:rsidR="00272938">
        <w:rPr>
          <w:rFonts w:cs="Arial"/>
          <w:lang w:val="en-GB"/>
        </w:rPr>
        <w:t xml:space="preserve">refer to section </w:t>
      </w:r>
      <w:r w:rsidRPr="00D84D56">
        <w:rPr>
          <w:rFonts w:cs="Arial"/>
          <w:lang w:val="en-GB"/>
        </w:rPr>
        <w:t xml:space="preserve">on </w:t>
      </w:r>
      <w:r w:rsidRPr="00D84D56">
        <w:rPr>
          <w:rFonts w:cs="Arial"/>
          <w:b/>
          <w:lang w:val="en-GB"/>
        </w:rPr>
        <w:t>Changing records</w:t>
      </w:r>
      <w:r w:rsidR="00272938">
        <w:rPr>
          <w:rFonts w:cs="Arial"/>
          <w:b/>
          <w:lang w:val="en-GB"/>
        </w:rPr>
        <w:t xml:space="preserve"> </w:t>
      </w:r>
      <w:r w:rsidR="00272938">
        <w:rPr>
          <w:rFonts w:cs="Arial"/>
          <w:lang w:val="en-GB"/>
        </w:rPr>
        <w:t>below</w:t>
      </w:r>
      <w:r w:rsidRPr="00D84D56">
        <w:rPr>
          <w:rFonts w:cs="Arial"/>
          <w:lang w:val="en-GB"/>
        </w:rPr>
        <w:t>.</w:t>
      </w:r>
    </w:p>
    <w:p w14:paraId="605497B4" w14:textId="4F9504D1" w:rsidR="000D6563" w:rsidRPr="00D84D56" w:rsidRDefault="000D6563" w:rsidP="000D6563">
      <w:pPr>
        <w:rPr>
          <w:rFonts w:cs="Arial"/>
          <w:lang w:val="en-GB"/>
        </w:rPr>
      </w:pPr>
    </w:p>
    <w:p w14:paraId="18C27B6E" w14:textId="77777777" w:rsidR="00B728C6" w:rsidRPr="00D84D56" w:rsidRDefault="00B728C6" w:rsidP="001670CF">
      <w:pPr>
        <w:numPr>
          <w:ilvl w:val="0"/>
          <w:numId w:val="31"/>
        </w:numPr>
        <w:rPr>
          <w:rFonts w:cs="Arial"/>
          <w:b/>
          <w:lang w:val="en-GB"/>
        </w:rPr>
      </w:pPr>
      <w:r w:rsidRPr="00D84D56">
        <w:rPr>
          <w:rFonts w:cs="Arial"/>
          <w:b/>
          <w:lang w:val="en-GB"/>
        </w:rPr>
        <w:t>Review</w:t>
      </w:r>
    </w:p>
    <w:p w14:paraId="2737B1B2" w14:textId="0709A9C4" w:rsidR="000D6563" w:rsidRPr="00D84D56" w:rsidRDefault="000D6563" w:rsidP="00B728C6">
      <w:pPr>
        <w:rPr>
          <w:rFonts w:cs="Arial"/>
          <w:lang w:val="en-GB"/>
        </w:rPr>
      </w:pPr>
      <w:r w:rsidRPr="00D84D56">
        <w:rPr>
          <w:rFonts w:cs="Arial"/>
          <w:lang w:val="en-GB"/>
        </w:rPr>
        <w:t>The action plan should be</w:t>
      </w:r>
      <w:r w:rsidR="001670CF" w:rsidRPr="00D84D56">
        <w:rPr>
          <w:rFonts w:cs="Arial"/>
          <w:lang w:val="en-GB"/>
        </w:rPr>
        <w:t xml:space="preserve"> under regular</w:t>
      </w:r>
      <w:r w:rsidRPr="00D84D56">
        <w:rPr>
          <w:rFonts w:cs="Arial"/>
          <w:lang w:val="en-GB"/>
        </w:rPr>
        <w:t xml:space="preserve"> review and </w:t>
      </w:r>
      <w:r w:rsidR="001670CF" w:rsidRPr="00D84D56">
        <w:rPr>
          <w:rFonts w:cs="Arial"/>
          <w:lang w:val="en-GB"/>
        </w:rPr>
        <w:t>updated</w:t>
      </w:r>
      <w:r w:rsidRPr="00D84D56">
        <w:rPr>
          <w:rFonts w:cs="Arial"/>
          <w:lang w:val="en-GB"/>
        </w:rPr>
        <w:t xml:space="preserve"> as necessary</w:t>
      </w:r>
      <w:r w:rsidR="001670CF" w:rsidRPr="00D84D56">
        <w:rPr>
          <w:rFonts w:cs="Arial"/>
          <w:lang w:val="en-GB"/>
        </w:rPr>
        <w:t>.</w:t>
      </w:r>
    </w:p>
    <w:p w14:paraId="284CC3D0" w14:textId="0EF419B2" w:rsidR="000D6563" w:rsidRDefault="000D6563" w:rsidP="000D6563">
      <w:pPr>
        <w:rPr>
          <w:rFonts w:cs="Arial"/>
          <w:lang w:val="en-GB"/>
        </w:rPr>
      </w:pPr>
    </w:p>
    <w:p w14:paraId="458A68A0" w14:textId="6C345772" w:rsidR="00A6463A" w:rsidRDefault="00A6463A" w:rsidP="000D6563">
      <w:pPr>
        <w:rPr>
          <w:rFonts w:cs="Arial"/>
          <w:lang w:val="en-GB"/>
        </w:rPr>
      </w:pPr>
    </w:p>
    <w:p w14:paraId="2F0BAEF8" w14:textId="77777777" w:rsidR="009859F6" w:rsidRPr="00D84D56" w:rsidRDefault="009859F6" w:rsidP="000D6563">
      <w:pPr>
        <w:rPr>
          <w:rFonts w:cs="Arial"/>
          <w:lang w:val="en-GB"/>
        </w:rPr>
      </w:pPr>
    </w:p>
    <w:p w14:paraId="2400B9DD" w14:textId="32E515ED" w:rsidR="00CF225E" w:rsidRPr="00D84D56" w:rsidRDefault="00CF225E" w:rsidP="00CF225E">
      <w:pPr>
        <w:tabs>
          <w:tab w:val="num" w:pos="-567"/>
        </w:tabs>
        <w:autoSpaceDE w:val="0"/>
        <w:autoSpaceDN w:val="0"/>
        <w:adjustRightInd w:val="0"/>
        <w:rPr>
          <w:rFonts w:cs="Arial"/>
          <w:b/>
          <w:color w:val="000000"/>
          <w:szCs w:val="22"/>
          <w:lang w:val="en-GB"/>
        </w:rPr>
      </w:pPr>
      <w:r w:rsidRPr="00D84D56">
        <w:rPr>
          <w:rFonts w:cs="Arial"/>
          <w:b/>
          <w:color w:val="000000"/>
          <w:szCs w:val="22"/>
          <w:lang w:val="en-GB"/>
        </w:rPr>
        <w:t>Changing records</w:t>
      </w:r>
    </w:p>
    <w:p w14:paraId="23C014CD" w14:textId="3F90775B" w:rsidR="004C5331" w:rsidRPr="00D84D56" w:rsidRDefault="00CF225E" w:rsidP="00CF225E">
      <w:pPr>
        <w:rPr>
          <w:szCs w:val="22"/>
          <w:lang w:val="en-GB" w:eastAsia="en-US"/>
        </w:rPr>
      </w:pPr>
      <w:r w:rsidRPr="00D84D56">
        <w:rPr>
          <w:szCs w:val="22"/>
          <w:lang w:val="en-GB" w:eastAsia="en-US"/>
        </w:rPr>
        <w:t>Trans people who have a full GRC</w:t>
      </w:r>
      <w:r w:rsidR="00EA2D75" w:rsidRPr="00D84D56">
        <w:rPr>
          <w:szCs w:val="22"/>
          <w:lang w:val="en-GB" w:eastAsia="en-US"/>
        </w:rPr>
        <w:t>, generally,</w:t>
      </w:r>
      <w:r w:rsidRPr="00D84D56">
        <w:rPr>
          <w:szCs w:val="22"/>
          <w:lang w:val="en-GB" w:eastAsia="en-US"/>
        </w:rPr>
        <w:t xml:space="preserve"> can request that any reference to their previous gender (and if applicable their previous name) be completely removed from their records. All paper and electronic records held where the person’s name and gender are mentioned will be amended or replaced on a date that is agreed with the person. This may include</w:t>
      </w:r>
      <w:r w:rsidR="004C5331" w:rsidRPr="00D84D56">
        <w:rPr>
          <w:szCs w:val="22"/>
          <w:lang w:val="en-GB" w:eastAsia="en-US"/>
        </w:rPr>
        <w:t>:</w:t>
      </w:r>
    </w:p>
    <w:p w14:paraId="18074780" w14:textId="77777777" w:rsidR="004C5331" w:rsidRPr="00D84D56" w:rsidRDefault="004C5331" w:rsidP="00C24046">
      <w:pPr>
        <w:pStyle w:val="ListParagraph"/>
        <w:numPr>
          <w:ilvl w:val="0"/>
          <w:numId w:val="32"/>
        </w:numPr>
        <w:ind w:left="567" w:hanging="567"/>
        <w:rPr>
          <w:szCs w:val="22"/>
          <w:lang w:val="en-GB" w:eastAsia="en-US"/>
        </w:rPr>
      </w:pPr>
      <w:r w:rsidRPr="00D84D56">
        <w:rPr>
          <w:szCs w:val="22"/>
          <w:lang w:val="en-GB" w:eastAsia="en-US"/>
        </w:rPr>
        <w:t>ID</w:t>
      </w:r>
      <w:r w:rsidR="00CF225E" w:rsidRPr="00D84D56">
        <w:rPr>
          <w:szCs w:val="22"/>
          <w:lang w:val="en-GB" w:eastAsia="en-US"/>
        </w:rPr>
        <w:t xml:space="preserve"> </w:t>
      </w:r>
      <w:r w:rsidR="00CF225E" w:rsidRPr="00D84D56">
        <w:rPr>
          <w:rFonts w:cs="Arial"/>
          <w:lang w:val="en-GB"/>
        </w:rPr>
        <w:t>passes</w:t>
      </w:r>
      <w:r w:rsidRPr="00D84D56">
        <w:rPr>
          <w:szCs w:val="22"/>
          <w:lang w:val="en-GB" w:eastAsia="en-US"/>
        </w:rPr>
        <w:t>,</w:t>
      </w:r>
    </w:p>
    <w:p w14:paraId="75421A35" w14:textId="77777777" w:rsidR="004C5331" w:rsidRPr="00D84D56" w:rsidRDefault="00CF225E" w:rsidP="00C24046">
      <w:pPr>
        <w:pStyle w:val="ListParagraph"/>
        <w:numPr>
          <w:ilvl w:val="0"/>
          <w:numId w:val="32"/>
        </w:numPr>
        <w:ind w:left="567" w:hanging="567"/>
        <w:rPr>
          <w:szCs w:val="22"/>
          <w:lang w:val="en-GB" w:eastAsia="en-US"/>
        </w:rPr>
      </w:pPr>
      <w:r w:rsidRPr="00D84D56">
        <w:rPr>
          <w:szCs w:val="22"/>
          <w:lang w:val="en-GB" w:eastAsia="en-US"/>
        </w:rPr>
        <w:t>contact details,</w:t>
      </w:r>
    </w:p>
    <w:p w14:paraId="3DF19ECC" w14:textId="77777777" w:rsidR="004C5331" w:rsidRPr="00D84D56" w:rsidRDefault="00CF225E" w:rsidP="00C24046">
      <w:pPr>
        <w:pStyle w:val="ListParagraph"/>
        <w:numPr>
          <w:ilvl w:val="0"/>
          <w:numId w:val="32"/>
        </w:numPr>
        <w:ind w:left="567" w:hanging="567"/>
        <w:rPr>
          <w:szCs w:val="22"/>
          <w:lang w:val="en-GB" w:eastAsia="en-US"/>
        </w:rPr>
      </w:pPr>
      <w:r w:rsidRPr="00D84D56">
        <w:rPr>
          <w:szCs w:val="22"/>
          <w:lang w:val="en-GB" w:eastAsia="en-US"/>
        </w:rPr>
        <w:t>email addresses,</w:t>
      </w:r>
    </w:p>
    <w:p w14:paraId="2CCF9190" w14:textId="77777777" w:rsidR="004C5331" w:rsidRPr="00D84D56" w:rsidRDefault="00CF225E" w:rsidP="00C24046">
      <w:pPr>
        <w:pStyle w:val="ListParagraph"/>
        <w:numPr>
          <w:ilvl w:val="0"/>
          <w:numId w:val="32"/>
        </w:numPr>
        <w:ind w:left="567" w:hanging="567"/>
        <w:rPr>
          <w:szCs w:val="22"/>
          <w:lang w:val="en-GB" w:eastAsia="en-US"/>
        </w:rPr>
      </w:pPr>
      <w:r w:rsidRPr="00D84D56">
        <w:rPr>
          <w:szCs w:val="22"/>
          <w:lang w:val="en-GB" w:eastAsia="en-US"/>
        </w:rPr>
        <w:t>formal records,</w:t>
      </w:r>
    </w:p>
    <w:p w14:paraId="4122C1F9" w14:textId="77777777" w:rsidR="004C5331" w:rsidRPr="00D84D56" w:rsidRDefault="00CF225E" w:rsidP="00C24046">
      <w:pPr>
        <w:pStyle w:val="ListParagraph"/>
        <w:numPr>
          <w:ilvl w:val="0"/>
          <w:numId w:val="32"/>
        </w:numPr>
        <w:ind w:left="567" w:hanging="567"/>
        <w:rPr>
          <w:szCs w:val="22"/>
          <w:lang w:val="en-GB" w:eastAsia="en-US"/>
        </w:rPr>
      </w:pPr>
      <w:r w:rsidRPr="00D84D56">
        <w:rPr>
          <w:szCs w:val="22"/>
          <w:lang w:val="en-GB" w:eastAsia="en-US"/>
        </w:rPr>
        <w:t>website references,</w:t>
      </w:r>
    </w:p>
    <w:p w14:paraId="1A359113" w14:textId="77777777" w:rsidR="004C5331" w:rsidRPr="00D84D56" w:rsidRDefault="00CF225E" w:rsidP="00C24046">
      <w:pPr>
        <w:pStyle w:val="ListParagraph"/>
        <w:numPr>
          <w:ilvl w:val="0"/>
          <w:numId w:val="32"/>
        </w:numPr>
        <w:ind w:left="567" w:hanging="567"/>
        <w:rPr>
          <w:szCs w:val="22"/>
          <w:lang w:val="en-GB" w:eastAsia="en-US"/>
        </w:rPr>
      </w:pPr>
      <w:r w:rsidRPr="00D84D56">
        <w:rPr>
          <w:szCs w:val="22"/>
          <w:lang w:val="en-GB" w:eastAsia="en-US"/>
        </w:rPr>
        <w:t>personnel records,</w:t>
      </w:r>
    </w:p>
    <w:p w14:paraId="482F711D" w14:textId="77777777" w:rsidR="004C5331" w:rsidRPr="00D84D56" w:rsidRDefault="00CF225E" w:rsidP="00C24046">
      <w:pPr>
        <w:pStyle w:val="ListParagraph"/>
        <w:numPr>
          <w:ilvl w:val="0"/>
          <w:numId w:val="32"/>
        </w:numPr>
        <w:ind w:left="567" w:hanging="567"/>
        <w:rPr>
          <w:szCs w:val="22"/>
          <w:lang w:val="en-GB" w:eastAsia="en-US"/>
        </w:rPr>
      </w:pPr>
      <w:r w:rsidRPr="00D84D56">
        <w:rPr>
          <w:szCs w:val="22"/>
          <w:lang w:val="en-GB" w:eastAsia="en-US"/>
        </w:rPr>
        <w:t>payroll details etc.</w:t>
      </w:r>
    </w:p>
    <w:p w14:paraId="1C45F527" w14:textId="1CFF7D9E" w:rsidR="00CF225E" w:rsidRPr="00D84D56" w:rsidRDefault="00CF225E" w:rsidP="00CF225E">
      <w:pPr>
        <w:rPr>
          <w:szCs w:val="22"/>
          <w:lang w:val="en-GB" w:eastAsia="en-US"/>
        </w:rPr>
      </w:pPr>
    </w:p>
    <w:p w14:paraId="0919536A" w14:textId="77777777" w:rsidR="00FF7ECD" w:rsidRPr="00D84D56" w:rsidRDefault="00FF7ECD" w:rsidP="00FF7ECD">
      <w:pPr>
        <w:tabs>
          <w:tab w:val="num" w:pos="-567"/>
        </w:tabs>
        <w:autoSpaceDE w:val="0"/>
        <w:autoSpaceDN w:val="0"/>
        <w:adjustRightInd w:val="0"/>
        <w:rPr>
          <w:rFonts w:cs="Arial"/>
          <w:color w:val="000000"/>
          <w:szCs w:val="22"/>
          <w:lang w:val="en-GB"/>
        </w:rPr>
      </w:pPr>
      <w:r w:rsidRPr="00D84D56">
        <w:rPr>
          <w:rFonts w:cs="Arial"/>
          <w:color w:val="000000"/>
          <w:szCs w:val="22"/>
          <w:lang w:val="en-GB"/>
        </w:rPr>
        <w:t>The transitioning employee will agree the point at which they would like to change their name and present at work in their new gender as part of the action plan, where they will also discuss what changes to records and systems will need to be made.</w:t>
      </w:r>
    </w:p>
    <w:p w14:paraId="1082E860" w14:textId="77777777" w:rsidR="00FF7ECD" w:rsidRPr="00D84D56" w:rsidRDefault="00FF7ECD" w:rsidP="00CF225E">
      <w:pPr>
        <w:rPr>
          <w:szCs w:val="22"/>
          <w:lang w:val="en-GB" w:eastAsia="en-US"/>
        </w:rPr>
      </w:pPr>
    </w:p>
    <w:p w14:paraId="3C2DAB7A" w14:textId="5120A7C3" w:rsidR="00FF7ECD" w:rsidRPr="00D84D56" w:rsidRDefault="009859F6" w:rsidP="00CF225E">
      <w:pPr>
        <w:rPr>
          <w:szCs w:val="22"/>
          <w:lang w:val="en-GB" w:eastAsia="en-US"/>
        </w:rPr>
      </w:pPr>
      <w:r>
        <w:rPr>
          <w:szCs w:val="22"/>
          <w:lang w:val="en-GB" w:eastAsia="en-US"/>
        </w:rPr>
        <w:t xml:space="preserve">Employees </w:t>
      </w:r>
      <w:r w:rsidR="00CF225E" w:rsidRPr="00D84D56">
        <w:rPr>
          <w:szCs w:val="22"/>
          <w:lang w:val="en-GB" w:eastAsia="en-US"/>
        </w:rPr>
        <w:t>will be made aware of the</w:t>
      </w:r>
      <w:r w:rsidR="004C5331" w:rsidRPr="00D84D56">
        <w:rPr>
          <w:szCs w:val="22"/>
          <w:lang w:val="en-GB" w:eastAsia="en-US"/>
        </w:rPr>
        <w:t xml:space="preserve"> categories of</w:t>
      </w:r>
      <w:r w:rsidR="00CF225E" w:rsidRPr="00D84D56">
        <w:rPr>
          <w:szCs w:val="22"/>
          <w:lang w:val="en-GB" w:eastAsia="en-US"/>
        </w:rPr>
        <w:t xml:space="preserve"> staff who can access their records and will be asked to give signed permission for them to do so. As it may be necessary to discuss with others in the organisation that the person is transitioning, the individual will also be asked to give signed permission before their status is discussed with others.</w:t>
      </w:r>
    </w:p>
    <w:p w14:paraId="23BB0E4D" w14:textId="2BD4FD78" w:rsidR="00FF7ECD" w:rsidRPr="00D84D56" w:rsidRDefault="00FF7ECD" w:rsidP="00CF225E">
      <w:pPr>
        <w:rPr>
          <w:szCs w:val="22"/>
          <w:lang w:val="en-GB" w:eastAsia="en-US"/>
        </w:rPr>
      </w:pPr>
    </w:p>
    <w:p w14:paraId="7448E1A0" w14:textId="77777777" w:rsidR="004E73F3" w:rsidRPr="00D84D56" w:rsidRDefault="004E73F3" w:rsidP="004E73F3">
      <w:pPr>
        <w:rPr>
          <w:szCs w:val="22"/>
          <w:lang w:val="en-GB" w:eastAsia="en-US"/>
        </w:rPr>
      </w:pPr>
      <w:r w:rsidRPr="00D84D56">
        <w:rPr>
          <w:rFonts w:cs="Arial"/>
          <w:color w:val="000000"/>
          <w:szCs w:val="22"/>
          <w:lang w:val="en-GB"/>
        </w:rPr>
        <w:t xml:space="preserve">After the employee has transitioned, records relating to the transition will be destroyed and a new personnel file created to ensure confidentiality. </w:t>
      </w:r>
      <w:r w:rsidRPr="00D84D56">
        <w:rPr>
          <w:szCs w:val="22"/>
          <w:lang w:val="en-GB" w:eastAsia="en-US"/>
        </w:rPr>
        <w:t>Nothing should remain that would disclose to a third person that a change has occurred.</w:t>
      </w:r>
    </w:p>
    <w:p w14:paraId="250CBA04" w14:textId="77777777" w:rsidR="004E73F3" w:rsidRPr="00D84D56" w:rsidRDefault="004E73F3" w:rsidP="00CF225E">
      <w:pPr>
        <w:rPr>
          <w:szCs w:val="22"/>
          <w:lang w:val="en-GB" w:eastAsia="en-US"/>
        </w:rPr>
      </w:pPr>
    </w:p>
    <w:p w14:paraId="5C09D8C8" w14:textId="2E76384F" w:rsidR="00E96DC4" w:rsidRPr="00D84D56" w:rsidRDefault="00CF225E" w:rsidP="00E96DC4">
      <w:pPr>
        <w:rPr>
          <w:szCs w:val="22"/>
          <w:lang w:val="en-GB" w:eastAsia="en-US"/>
        </w:rPr>
      </w:pPr>
      <w:r w:rsidRPr="00D84D56">
        <w:rPr>
          <w:szCs w:val="22"/>
          <w:lang w:val="en-GB" w:eastAsia="en-US"/>
        </w:rPr>
        <w:t xml:space="preserve">The Gender Recognition Act 2004 does not require </w:t>
      </w:r>
      <w:r w:rsidR="00EA2D75" w:rsidRPr="00D84D56">
        <w:rPr>
          <w:szCs w:val="22"/>
          <w:lang w:val="en-GB" w:eastAsia="en-US"/>
        </w:rPr>
        <w:t xml:space="preserve">the Council </w:t>
      </w:r>
      <w:r w:rsidRPr="00D84D56">
        <w:rPr>
          <w:szCs w:val="22"/>
          <w:lang w:val="en-GB" w:eastAsia="en-US"/>
        </w:rPr>
        <w:t xml:space="preserve">to amend records such as the minutes of meetings that predate the individual’s transition. However, it </w:t>
      </w:r>
      <w:r w:rsidR="00EA2D75" w:rsidRPr="00D84D56">
        <w:rPr>
          <w:szCs w:val="22"/>
          <w:lang w:val="en-GB" w:eastAsia="en-US"/>
        </w:rPr>
        <w:t>would be advisable to</w:t>
      </w:r>
      <w:r w:rsidRPr="00D84D56">
        <w:rPr>
          <w:szCs w:val="22"/>
          <w:lang w:val="en-GB" w:eastAsia="en-US"/>
        </w:rPr>
        <w:t xml:space="preserve"> consider any </w:t>
      </w:r>
      <w:r w:rsidR="00EA2D75" w:rsidRPr="00D84D56">
        <w:rPr>
          <w:szCs w:val="22"/>
          <w:lang w:val="en-GB" w:eastAsia="en-US"/>
        </w:rPr>
        <w:t xml:space="preserve">publicly available </w:t>
      </w:r>
      <w:r w:rsidRPr="00D84D56">
        <w:rPr>
          <w:szCs w:val="22"/>
          <w:lang w:val="en-GB" w:eastAsia="en-US"/>
        </w:rPr>
        <w:t>documentation (</w:t>
      </w:r>
      <w:r w:rsidR="00EA2D75" w:rsidRPr="00D84D56">
        <w:rPr>
          <w:szCs w:val="22"/>
          <w:lang w:val="en-GB" w:eastAsia="en-US"/>
        </w:rPr>
        <w:t>i.e.</w:t>
      </w:r>
      <w:r w:rsidRPr="00D84D56">
        <w:rPr>
          <w:szCs w:val="22"/>
          <w:lang w:val="en-GB" w:eastAsia="en-US"/>
        </w:rPr>
        <w:t xml:space="preserve"> committee minutes) and discuss with the individual how to manage any name change that might </w:t>
      </w:r>
      <w:r w:rsidR="00EA2D75" w:rsidRPr="00D84D56">
        <w:rPr>
          <w:szCs w:val="22"/>
          <w:lang w:val="en-GB" w:eastAsia="en-US"/>
        </w:rPr>
        <w:t>inadvertently draw</w:t>
      </w:r>
      <w:r w:rsidRPr="00D84D56">
        <w:rPr>
          <w:szCs w:val="22"/>
          <w:lang w:val="en-GB" w:eastAsia="en-US"/>
        </w:rPr>
        <w:t xml:space="preserve"> the public</w:t>
      </w:r>
      <w:r w:rsidR="00EA2D75" w:rsidRPr="00D84D56">
        <w:rPr>
          <w:szCs w:val="22"/>
          <w:lang w:val="en-GB" w:eastAsia="en-US"/>
        </w:rPr>
        <w:t>’s attention</w:t>
      </w:r>
      <w:r w:rsidRPr="00D84D56">
        <w:rPr>
          <w:szCs w:val="22"/>
          <w:lang w:val="en-GB" w:eastAsia="en-US"/>
        </w:rPr>
        <w:t xml:space="preserve"> to their transition.</w:t>
      </w:r>
    </w:p>
    <w:p w14:paraId="085AEE2B" w14:textId="77777777" w:rsidR="00FF7ECD" w:rsidRPr="00D84D56" w:rsidRDefault="00FF7ECD" w:rsidP="00E96DC4">
      <w:pPr>
        <w:rPr>
          <w:szCs w:val="22"/>
          <w:lang w:val="en-GB" w:eastAsia="en-US"/>
        </w:rPr>
      </w:pPr>
    </w:p>
    <w:p w14:paraId="3B72CB2F" w14:textId="77777777" w:rsidR="00B87CDE" w:rsidRPr="00D84D56" w:rsidRDefault="00B87CDE">
      <w:pPr>
        <w:rPr>
          <w:b/>
          <w:szCs w:val="22"/>
          <w:highlight w:val="lightGray"/>
          <w:lang w:val="en-GB" w:eastAsia="en-US"/>
        </w:rPr>
      </w:pPr>
      <w:r w:rsidRPr="00D84D56">
        <w:rPr>
          <w:highlight w:val="lightGray"/>
          <w:lang w:val="en-GB"/>
        </w:rPr>
        <w:br w:type="page"/>
      </w:r>
    </w:p>
    <w:p w14:paraId="0BDA3190" w14:textId="77777777" w:rsidR="00DC19F7" w:rsidRPr="00D84D56" w:rsidRDefault="00DC19F7" w:rsidP="00B87CDE">
      <w:pPr>
        <w:pStyle w:val="Heading2"/>
        <w:numPr>
          <w:ilvl w:val="0"/>
          <w:numId w:val="20"/>
        </w:numPr>
        <w:ind w:left="360"/>
        <w:rPr>
          <w:lang w:val="en-GB"/>
        </w:rPr>
        <w:sectPr w:rsidR="00DC19F7" w:rsidRPr="00D84D56" w:rsidSect="00AA5992">
          <w:type w:val="continuous"/>
          <w:pgSz w:w="12240" w:h="15840"/>
          <w:pgMar w:top="1134" w:right="1134" w:bottom="1134" w:left="1134" w:header="720" w:footer="720" w:gutter="0"/>
          <w:cols w:space="720"/>
          <w:noEndnote/>
        </w:sectPr>
      </w:pPr>
    </w:p>
    <w:p w14:paraId="00CE5E21" w14:textId="71315015" w:rsidR="00E96DC4" w:rsidRPr="00E9012F" w:rsidRDefault="00E96DC4" w:rsidP="00E9012F">
      <w:pPr>
        <w:pStyle w:val="ListParagraph"/>
        <w:numPr>
          <w:ilvl w:val="0"/>
          <w:numId w:val="35"/>
        </w:numPr>
        <w:ind w:left="360"/>
        <w:rPr>
          <w:b/>
          <w:lang w:val="en-GB"/>
        </w:rPr>
      </w:pPr>
      <w:r w:rsidRPr="00E9012F">
        <w:rPr>
          <w:b/>
          <w:lang w:val="en-GB"/>
        </w:rPr>
        <w:t xml:space="preserve">Suggested </w:t>
      </w:r>
      <w:r w:rsidR="00CF225E" w:rsidRPr="00E9012F">
        <w:rPr>
          <w:b/>
          <w:lang w:val="en-GB"/>
        </w:rPr>
        <w:t>Template</w:t>
      </w:r>
      <w:r w:rsidRPr="00E9012F">
        <w:rPr>
          <w:b/>
          <w:lang w:val="en-GB"/>
        </w:rPr>
        <w:t xml:space="preserve"> for a Transition Action Plan</w:t>
      </w:r>
    </w:p>
    <w:p w14:paraId="1C4C598B" w14:textId="7DAF517B" w:rsidR="00944345" w:rsidRPr="00D84D56" w:rsidRDefault="00944345" w:rsidP="00944345">
      <w:pPr>
        <w:rPr>
          <w:rFonts w:cs="Arial"/>
          <w:lang w:val="en-GB"/>
        </w:rPr>
      </w:pPr>
    </w:p>
    <w:tbl>
      <w:tblPr>
        <w:tblStyle w:val="TableGrid"/>
        <w:tblW w:w="0" w:type="auto"/>
        <w:tblLook w:val="04A0" w:firstRow="1" w:lastRow="0" w:firstColumn="1" w:lastColumn="0" w:noHBand="0" w:noVBand="1"/>
      </w:tblPr>
      <w:tblGrid>
        <w:gridCol w:w="4981"/>
        <w:gridCol w:w="2669"/>
      </w:tblGrid>
      <w:tr w:rsidR="00944345" w:rsidRPr="00D84D56" w14:paraId="1EEDFE31" w14:textId="77777777" w:rsidTr="00DC19F7">
        <w:tc>
          <w:tcPr>
            <w:tcW w:w="4981" w:type="dxa"/>
          </w:tcPr>
          <w:p w14:paraId="1DB7D1D7" w14:textId="19A86C30" w:rsidR="00944345" w:rsidRPr="00D84D56" w:rsidRDefault="008B3BF5" w:rsidP="00944345">
            <w:pPr>
              <w:rPr>
                <w:rFonts w:cs="Arial"/>
                <w:lang w:val="en-GB"/>
              </w:rPr>
            </w:pPr>
            <w:r w:rsidRPr="00D84D56">
              <w:rPr>
                <w:rFonts w:cs="Arial"/>
                <w:lang w:val="en-GB"/>
              </w:rPr>
              <w:t>Attach any additional notes.</w:t>
            </w:r>
          </w:p>
        </w:tc>
        <w:tc>
          <w:tcPr>
            <w:tcW w:w="2669" w:type="dxa"/>
          </w:tcPr>
          <w:p w14:paraId="2FF9D85C" w14:textId="77777777" w:rsidR="00944345" w:rsidRPr="00D84D56" w:rsidRDefault="00944345" w:rsidP="00944345">
            <w:pPr>
              <w:rPr>
                <w:rFonts w:cs="Arial"/>
                <w:lang w:val="en-GB"/>
              </w:rPr>
            </w:pPr>
          </w:p>
        </w:tc>
      </w:tr>
      <w:tr w:rsidR="00944345" w:rsidRPr="00D84D56" w14:paraId="12AF8D3D" w14:textId="77777777" w:rsidTr="00DC19F7">
        <w:tc>
          <w:tcPr>
            <w:tcW w:w="4981" w:type="dxa"/>
          </w:tcPr>
          <w:p w14:paraId="2B3D5D31" w14:textId="7CD62446" w:rsidR="00944345" w:rsidRPr="00D84D56" w:rsidRDefault="008B3BF5" w:rsidP="00944345">
            <w:pPr>
              <w:rPr>
                <w:rFonts w:cs="Arial"/>
                <w:lang w:val="en-GB"/>
              </w:rPr>
            </w:pPr>
            <w:r w:rsidRPr="00D84D56">
              <w:rPr>
                <w:rFonts w:cs="Arial"/>
                <w:lang w:val="en-GB"/>
              </w:rPr>
              <w:t>Where will this document be kep</w:t>
            </w:r>
            <w:r w:rsidR="009859F6">
              <w:rPr>
                <w:rFonts w:cs="Arial"/>
                <w:lang w:val="en-GB"/>
              </w:rPr>
              <w:t>t</w:t>
            </w:r>
            <w:r w:rsidRPr="00D84D56">
              <w:rPr>
                <w:rFonts w:cs="Arial"/>
                <w:lang w:val="en-GB"/>
              </w:rPr>
              <w:t xml:space="preserve"> so that it is secure and remains confidential?</w:t>
            </w:r>
          </w:p>
        </w:tc>
        <w:tc>
          <w:tcPr>
            <w:tcW w:w="2669" w:type="dxa"/>
          </w:tcPr>
          <w:p w14:paraId="6C2CEDE6" w14:textId="77777777" w:rsidR="00944345" w:rsidRPr="00D84D56" w:rsidRDefault="00944345" w:rsidP="00944345">
            <w:pPr>
              <w:rPr>
                <w:rFonts w:cs="Arial"/>
                <w:lang w:val="en-GB"/>
              </w:rPr>
            </w:pPr>
          </w:p>
        </w:tc>
      </w:tr>
      <w:tr w:rsidR="00944345" w:rsidRPr="00D84D56" w14:paraId="2995E603" w14:textId="77777777" w:rsidTr="00DC19F7">
        <w:tc>
          <w:tcPr>
            <w:tcW w:w="4981" w:type="dxa"/>
          </w:tcPr>
          <w:p w14:paraId="73CA1A39" w14:textId="67EC16A8" w:rsidR="00944345" w:rsidRPr="00D84D56" w:rsidRDefault="008B3BF5" w:rsidP="00944345">
            <w:pPr>
              <w:rPr>
                <w:rFonts w:cs="Arial"/>
                <w:lang w:val="en-GB"/>
              </w:rPr>
            </w:pPr>
            <w:r w:rsidRPr="00D84D56">
              <w:rPr>
                <w:rFonts w:cs="Arial"/>
                <w:lang w:val="en-GB"/>
              </w:rPr>
              <w:t>Who will see this document? (</w:t>
            </w:r>
            <w:r w:rsidR="009859F6">
              <w:rPr>
                <w:rFonts w:cs="Arial"/>
                <w:lang w:val="en-GB"/>
              </w:rPr>
              <w:t>for example</w:t>
            </w:r>
            <w:r w:rsidR="00C953B3">
              <w:rPr>
                <w:rFonts w:cs="Arial"/>
                <w:lang w:val="en-GB"/>
              </w:rPr>
              <w:t>:</w:t>
            </w:r>
            <w:r w:rsidRPr="00D84D56">
              <w:rPr>
                <w:rFonts w:cs="Arial"/>
                <w:lang w:val="en-GB"/>
              </w:rPr>
              <w:t xml:space="preserve"> line manager, colleague, mentor, TU rep)</w:t>
            </w:r>
          </w:p>
        </w:tc>
        <w:tc>
          <w:tcPr>
            <w:tcW w:w="2669" w:type="dxa"/>
          </w:tcPr>
          <w:p w14:paraId="2B5CFE56" w14:textId="77777777" w:rsidR="00944345" w:rsidRPr="00D84D56" w:rsidRDefault="00944345" w:rsidP="00944345">
            <w:pPr>
              <w:rPr>
                <w:rFonts w:cs="Arial"/>
                <w:lang w:val="en-GB"/>
              </w:rPr>
            </w:pPr>
          </w:p>
        </w:tc>
      </w:tr>
      <w:tr w:rsidR="00944345" w:rsidRPr="00D84D56" w14:paraId="6BBC7991" w14:textId="77777777" w:rsidTr="00DC19F7">
        <w:tc>
          <w:tcPr>
            <w:tcW w:w="4981" w:type="dxa"/>
          </w:tcPr>
          <w:p w14:paraId="4866BA8B" w14:textId="44B58B0B" w:rsidR="00944345" w:rsidRPr="00D84D56" w:rsidRDefault="008B3BF5" w:rsidP="00944345">
            <w:pPr>
              <w:rPr>
                <w:rFonts w:cs="Arial"/>
                <w:lang w:val="en-GB"/>
              </w:rPr>
            </w:pPr>
            <w:r w:rsidRPr="00D84D56">
              <w:rPr>
                <w:rFonts w:cs="Arial"/>
                <w:lang w:val="en-GB"/>
              </w:rPr>
              <w:t>Date when this document will be destroyed by.</w:t>
            </w:r>
          </w:p>
        </w:tc>
        <w:tc>
          <w:tcPr>
            <w:tcW w:w="2669" w:type="dxa"/>
          </w:tcPr>
          <w:p w14:paraId="280F3DA4" w14:textId="77777777" w:rsidR="00944345" w:rsidRPr="00D84D56" w:rsidRDefault="00944345" w:rsidP="00944345">
            <w:pPr>
              <w:rPr>
                <w:rFonts w:cs="Arial"/>
                <w:lang w:val="en-GB"/>
              </w:rPr>
            </w:pPr>
          </w:p>
        </w:tc>
      </w:tr>
    </w:tbl>
    <w:p w14:paraId="06C01566" w14:textId="77777777" w:rsidR="00944345" w:rsidRPr="00D84D56" w:rsidRDefault="00944345" w:rsidP="00944345">
      <w:pPr>
        <w:rPr>
          <w:rFonts w:cs="Arial"/>
          <w:lang w:val="en-GB"/>
        </w:rPr>
      </w:pPr>
    </w:p>
    <w:p w14:paraId="219D5E51" w14:textId="7ED714F8" w:rsidR="00944345" w:rsidRPr="00D84D56" w:rsidRDefault="00944345" w:rsidP="00944345">
      <w:pPr>
        <w:rPr>
          <w:rFonts w:cs="Arial"/>
          <w:i/>
          <w:lang w:val="en-GB"/>
        </w:rPr>
      </w:pPr>
      <w:r w:rsidRPr="00D84D56">
        <w:rPr>
          <w:rFonts w:cs="Arial"/>
          <w:i/>
          <w:lang w:val="en-GB"/>
        </w:rPr>
        <w:t>Please feel free to adapt this plan as necessary</w:t>
      </w:r>
    </w:p>
    <w:p w14:paraId="152279C1" w14:textId="5EC9C59F" w:rsidR="00944345" w:rsidRPr="00D84D56" w:rsidRDefault="00944345" w:rsidP="00E96DC4">
      <w:pPr>
        <w:rPr>
          <w:rFonts w:cs="Arial"/>
          <w:lang w:val="en-GB"/>
        </w:rPr>
      </w:pPr>
    </w:p>
    <w:tbl>
      <w:tblPr>
        <w:tblStyle w:val="TableGrid"/>
        <w:tblW w:w="0" w:type="auto"/>
        <w:tblLook w:val="04A0" w:firstRow="1" w:lastRow="0" w:firstColumn="1" w:lastColumn="0" w:noHBand="0" w:noVBand="1"/>
      </w:tblPr>
      <w:tblGrid>
        <w:gridCol w:w="3629"/>
        <w:gridCol w:w="2887"/>
        <w:gridCol w:w="2197"/>
        <w:gridCol w:w="2197"/>
        <w:gridCol w:w="2652"/>
      </w:tblGrid>
      <w:tr w:rsidR="00DC19F7" w:rsidRPr="00D84D56" w14:paraId="3AC79BB4" w14:textId="77777777" w:rsidTr="00DC19F7">
        <w:tc>
          <w:tcPr>
            <w:tcW w:w="3629" w:type="dxa"/>
          </w:tcPr>
          <w:p w14:paraId="265CC888" w14:textId="70791776" w:rsidR="00EE3D8C" w:rsidRPr="00D84D56" w:rsidRDefault="00EE3D8C" w:rsidP="00E96DC4">
            <w:pPr>
              <w:rPr>
                <w:rFonts w:cs="Arial"/>
                <w:b/>
                <w:lang w:val="en-GB"/>
              </w:rPr>
            </w:pPr>
            <w:r w:rsidRPr="00D84D56">
              <w:rPr>
                <w:rFonts w:cs="Arial"/>
                <w:b/>
                <w:lang w:val="en-GB"/>
              </w:rPr>
              <w:t>Issue to consider</w:t>
            </w:r>
          </w:p>
        </w:tc>
        <w:tc>
          <w:tcPr>
            <w:tcW w:w="2887" w:type="dxa"/>
          </w:tcPr>
          <w:p w14:paraId="71322DFC" w14:textId="3A3A7697" w:rsidR="00EE3D8C" w:rsidRPr="00D84D56" w:rsidRDefault="00EE3D8C" w:rsidP="00E96DC4">
            <w:pPr>
              <w:rPr>
                <w:rFonts w:cs="Arial"/>
                <w:b/>
                <w:lang w:val="en-GB"/>
              </w:rPr>
            </w:pPr>
            <w:r w:rsidRPr="00D84D56">
              <w:rPr>
                <w:rFonts w:cs="Arial"/>
                <w:b/>
                <w:lang w:val="en-GB"/>
              </w:rPr>
              <w:t>Action to be taken</w:t>
            </w:r>
          </w:p>
        </w:tc>
        <w:tc>
          <w:tcPr>
            <w:tcW w:w="2197" w:type="dxa"/>
          </w:tcPr>
          <w:p w14:paraId="5085DA54" w14:textId="48BC0C56" w:rsidR="00EE3D8C" w:rsidRPr="00D84D56" w:rsidRDefault="00EE3D8C" w:rsidP="00E96DC4">
            <w:pPr>
              <w:rPr>
                <w:rFonts w:cs="Arial"/>
                <w:b/>
                <w:lang w:val="en-GB"/>
              </w:rPr>
            </w:pPr>
            <w:r w:rsidRPr="00D84D56">
              <w:rPr>
                <w:rFonts w:cs="Arial"/>
                <w:b/>
                <w:lang w:val="en-GB"/>
              </w:rPr>
              <w:t>Who is responsible</w:t>
            </w:r>
          </w:p>
        </w:tc>
        <w:tc>
          <w:tcPr>
            <w:tcW w:w="2197" w:type="dxa"/>
          </w:tcPr>
          <w:p w14:paraId="3A15A8F3" w14:textId="1EA29669" w:rsidR="00EE3D8C" w:rsidRPr="00D84D56" w:rsidRDefault="00EE3D8C" w:rsidP="00E96DC4">
            <w:pPr>
              <w:rPr>
                <w:rFonts w:cs="Arial"/>
                <w:b/>
                <w:lang w:val="en-GB"/>
              </w:rPr>
            </w:pPr>
            <w:r w:rsidRPr="00D84D56">
              <w:rPr>
                <w:rFonts w:cs="Arial"/>
                <w:b/>
                <w:lang w:val="en-GB"/>
              </w:rPr>
              <w:t>When by</w:t>
            </w:r>
          </w:p>
        </w:tc>
        <w:tc>
          <w:tcPr>
            <w:tcW w:w="2652" w:type="dxa"/>
          </w:tcPr>
          <w:p w14:paraId="6BFF4359" w14:textId="3729B6A1" w:rsidR="00EE3D8C" w:rsidRPr="00D84D56" w:rsidRDefault="00EE3D8C" w:rsidP="00E96DC4">
            <w:pPr>
              <w:rPr>
                <w:rFonts w:cs="Arial"/>
                <w:b/>
                <w:lang w:val="en-GB"/>
              </w:rPr>
            </w:pPr>
            <w:r w:rsidRPr="00D84D56">
              <w:rPr>
                <w:rFonts w:cs="Arial"/>
                <w:b/>
                <w:lang w:val="en-GB"/>
              </w:rPr>
              <w:t>Review (if applicable)</w:t>
            </w:r>
          </w:p>
        </w:tc>
      </w:tr>
      <w:tr w:rsidR="00DC19F7" w:rsidRPr="00D84D56" w14:paraId="009625D2" w14:textId="77777777" w:rsidTr="00DC19F7">
        <w:tc>
          <w:tcPr>
            <w:tcW w:w="3629" w:type="dxa"/>
          </w:tcPr>
          <w:p w14:paraId="47E5B5C3" w14:textId="7BE605FD" w:rsidR="008B3BF5" w:rsidRPr="00D84D56" w:rsidRDefault="008B3BF5" w:rsidP="00E96DC4">
            <w:pPr>
              <w:rPr>
                <w:rFonts w:cs="Arial"/>
                <w:lang w:val="en-GB"/>
              </w:rPr>
            </w:pPr>
            <w:r w:rsidRPr="00D84D56">
              <w:rPr>
                <w:rFonts w:cs="Arial"/>
                <w:lang w:val="en-GB"/>
              </w:rPr>
              <w:t>Which ‘type’ of transition (social, medical, legal)?</w:t>
            </w:r>
          </w:p>
        </w:tc>
        <w:tc>
          <w:tcPr>
            <w:tcW w:w="2887" w:type="dxa"/>
          </w:tcPr>
          <w:p w14:paraId="527AD241" w14:textId="77777777" w:rsidR="008B3BF5" w:rsidRPr="00D84D56" w:rsidRDefault="008B3BF5" w:rsidP="00E96DC4">
            <w:pPr>
              <w:rPr>
                <w:rFonts w:cs="Arial"/>
                <w:lang w:val="en-GB"/>
              </w:rPr>
            </w:pPr>
          </w:p>
        </w:tc>
        <w:tc>
          <w:tcPr>
            <w:tcW w:w="2197" w:type="dxa"/>
          </w:tcPr>
          <w:p w14:paraId="4CE0EE57" w14:textId="77777777" w:rsidR="008B3BF5" w:rsidRPr="00D84D56" w:rsidRDefault="008B3BF5" w:rsidP="00E96DC4">
            <w:pPr>
              <w:rPr>
                <w:rFonts w:cs="Arial"/>
                <w:lang w:val="en-GB"/>
              </w:rPr>
            </w:pPr>
          </w:p>
        </w:tc>
        <w:tc>
          <w:tcPr>
            <w:tcW w:w="2197" w:type="dxa"/>
          </w:tcPr>
          <w:p w14:paraId="6C245A91" w14:textId="77777777" w:rsidR="008B3BF5" w:rsidRPr="00D84D56" w:rsidRDefault="008B3BF5" w:rsidP="00E96DC4">
            <w:pPr>
              <w:rPr>
                <w:rFonts w:cs="Arial"/>
                <w:lang w:val="en-GB"/>
              </w:rPr>
            </w:pPr>
          </w:p>
        </w:tc>
        <w:tc>
          <w:tcPr>
            <w:tcW w:w="2652" w:type="dxa"/>
          </w:tcPr>
          <w:p w14:paraId="49B35A25" w14:textId="77777777" w:rsidR="008B3BF5" w:rsidRPr="00D84D56" w:rsidRDefault="008B3BF5" w:rsidP="00E96DC4">
            <w:pPr>
              <w:rPr>
                <w:rFonts w:cs="Arial"/>
                <w:lang w:val="en-GB"/>
              </w:rPr>
            </w:pPr>
          </w:p>
        </w:tc>
      </w:tr>
      <w:tr w:rsidR="00DC19F7" w:rsidRPr="00D84D56" w14:paraId="429DCDFC" w14:textId="77777777" w:rsidTr="00DC19F7">
        <w:tc>
          <w:tcPr>
            <w:tcW w:w="3629" w:type="dxa"/>
          </w:tcPr>
          <w:p w14:paraId="6520F85C" w14:textId="77777777" w:rsidR="008B3BF5" w:rsidRPr="00D84D56" w:rsidRDefault="008B3BF5" w:rsidP="008B3BF5">
            <w:pPr>
              <w:rPr>
                <w:rFonts w:eastAsia="Calibri"/>
                <w:lang w:val="en-GB"/>
              </w:rPr>
            </w:pPr>
            <w:r w:rsidRPr="00D84D56">
              <w:rPr>
                <w:rFonts w:eastAsia="Calibri"/>
                <w:lang w:val="en-GB"/>
              </w:rPr>
              <w:t>The employee’s title, pronoun, and name.</w:t>
            </w:r>
          </w:p>
          <w:p w14:paraId="0FE6C58E" w14:textId="62ACCE0E" w:rsidR="008B3BF5" w:rsidRPr="00D84D56" w:rsidRDefault="008B3BF5" w:rsidP="008B3BF5">
            <w:pPr>
              <w:rPr>
                <w:rFonts w:cs="Arial"/>
                <w:lang w:val="en-GB"/>
              </w:rPr>
            </w:pPr>
            <w:r w:rsidRPr="00D84D56">
              <w:rPr>
                <w:rFonts w:eastAsia="Calibri"/>
                <w:lang w:val="en-GB"/>
              </w:rPr>
              <w:t>Consider appropriate amendments to records, systems etc. (</w:t>
            </w:r>
            <w:r w:rsidR="00C953B3">
              <w:rPr>
                <w:rFonts w:eastAsia="Calibri"/>
                <w:lang w:val="en-GB"/>
              </w:rPr>
              <w:t xml:space="preserve">for example: </w:t>
            </w:r>
            <w:r w:rsidRPr="00D84D56">
              <w:rPr>
                <w:rFonts w:eastAsia="Calibri"/>
                <w:lang w:val="en-GB"/>
              </w:rPr>
              <w:t>preferred name, gender, ID badge, email</w:t>
            </w:r>
            <w:r w:rsidR="00DC19F7" w:rsidRPr="00D84D56">
              <w:rPr>
                <w:rFonts w:eastAsia="Calibri"/>
                <w:lang w:val="en-GB"/>
              </w:rPr>
              <w:t>, intranet, staff directory, voicemail, personnel file and related data</w:t>
            </w:r>
            <w:r w:rsidRPr="00D84D56">
              <w:rPr>
                <w:rFonts w:eastAsia="Calibri"/>
                <w:lang w:val="en-GB"/>
              </w:rPr>
              <w:t>)</w:t>
            </w:r>
          </w:p>
        </w:tc>
        <w:tc>
          <w:tcPr>
            <w:tcW w:w="2887" w:type="dxa"/>
          </w:tcPr>
          <w:p w14:paraId="23357FED" w14:textId="77777777" w:rsidR="008B3BF5" w:rsidRPr="00D84D56" w:rsidRDefault="008B3BF5" w:rsidP="008B3BF5">
            <w:pPr>
              <w:rPr>
                <w:rFonts w:cs="Arial"/>
                <w:lang w:val="en-GB"/>
              </w:rPr>
            </w:pPr>
          </w:p>
        </w:tc>
        <w:tc>
          <w:tcPr>
            <w:tcW w:w="2197" w:type="dxa"/>
          </w:tcPr>
          <w:p w14:paraId="5679686F" w14:textId="77777777" w:rsidR="008B3BF5" w:rsidRPr="00D84D56" w:rsidRDefault="008B3BF5" w:rsidP="008B3BF5">
            <w:pPr>
              <w:rPr>
                <w:rFonts w:cs="Arial"/>
                <w:lang w:val="en-GB"/>
              </w:rPr>
            </w:pPr>
          </w:p>
        </w:tc>
        <w:tc>
          <w:tcPr>
            <w:tcW w:w="2197" w:type="dxa"/>
          </w:tcPr>
          <w:p w14:paraId="0AA85327" w14:textId="77777777" w:rsidR="008B3BF5" w:rsidRPr="00D84D56" w:rsidRDefault="008B3BF5" w:rsidP="008B3BF5">
            <w:pPr>
              <w:rPr>
                <w:rFonts w:cs="Arial"/>
                <w:lang w:val="en-GB"/>
              </w:rPr>
            </w:pPr>
          </w:p>
        </w:tc>
        <w:tc>
          <w:tcPr>
            <w:tcW w:w="2652" w:type="dxa"/>
          </w:tcPr>
          <w:p w14:paraId="768AB710" w14:textId="77777777" w:rsidR="008B3BF5" w:rsidRPr="00D84D56" w:rsidRDefault="008B3BF5" w:rsidP="008B3BF5">
            <w:pPr>
              <w:rPr>
                <w:rFonts w:cs="Arial"/>
                <w:lang w:val="en-GB"/>
              </w:rPr>
            </w:pPr>
          </w:p>
        </w:tc>
      </w:tr>
      <w:tr w:rsidR="00DC19F7" w:rsidRPr="00D84D56" w14:paraId="5F54DC79" w14:textId="77777777" w:rsidTr="00DC19F7">
        <w:tc>
          <w:tcPr>
            <w:tcW w:w="3629" w:type="dxa"/>
          </w:tcPr>
          <w:p w14:paraId="16A66C6B" w14:textId="77777777" w:rsidR="008B3BF5" w:rsidRPr="00D84D56" w:rsidRDefault="00DC19F7" w:rsidP="008B3BF5">
            <w:pPr>
              <w:rPr>
                <w:lang w:val="en-GB"/>
              </w:rPr>
            </w:pPr>
            <w:r w:rsidRPr="00D84D56">
              <w:rPr>
                <w:lang w:val="en-GB"/>
              </w:rPr>
              <w:t>Genuine occupational requirements and t</w:t>
            </w:r>
            <w:r w:rsidR="008B3BF5" w:rsidRPr="00D84D56">
              <w:rPr>
                <w:lang w:val="en-GB"/>
              </w:rPr>
              <w:t>emporary or permanent changes/ reasonable adjustments to the role to support the employee.</w:t>
            </w:r>
          </w:p>
          <w:p w14:paraId="16AD114C" w14:textId="7D5E547E" w:rsidR="00DC19F7" w:rsidRPr="00D84D56" w:rsidRDefault="00DC19F7" w:rsidP="008B3BF5">
            <w:pPr>
              <w:rPr>
                <w:lang w:val="en-GB"/>
              </w:rPr>
            </w:pPr>
            <w:r w:rsidRPr="00D84D56">
              <w:rPr>
                <w:lang w:val="en-GB"/>
              </w:rPr>
              <w:t>Any restrictions that apply.</w:t>
            </w:r>
          </w:p>
        </w:tc>
        <w:tc>
          <w:tcPr>
            <w:tcW w:w="2887" w:type="dxa"/>
          </w:tcPr>
          <w:p w14:paraId="011726F0" w14:textId="77777777" w:rsidR="008B3BF5" w:rsidRPr="00D84D56" w:rsidRDefault="008B3BF5" w:rsidP="008B3BF5">
            <w:pPr>
              <w:rPr>
                <w:rFonts w:cs="Arial"/>
                <w:lang w:val="en-GB"/>
              </w:rPr>
            </w:pPr>
          </w:p>
        </w:tc>
        <w:tc>
          <w:tcPr>
            <w:tcW w:w="2197" w:type="dxa"/>
          </w:tcPr>
          <w:p w14:paraId="087D6056" w14:textId="2D1B0838" w:rsidR="008B3BF5" w:rsidRPr="00D84D56" w:rsidRDefault="008B3BF5" w:rsidP="008B3BF5">
            <w:pPr>
              <w:rPr>
                <w:rFonts w:cs="Arial"/>
                <w:lang w:val="en-GB"/>
              </w:rPr>
            </w:pPr>
          </w:p>
        </w:tc>
        <w:tc>
          <w:tcPr>
            <w:tcW w:w="2197" w:type="dxa"/>
          </w:tcPr>
          <w:p w14:paraId="4CE580E8" w14:textId="77777777" w:rsidR="008B3BF5" w:rsidRPr="00D84D56" w:rsidRDefault="008B3BF5" w:rsidP="008B3BF5">
            <w:pPr>
              <w:rPr>
                <w:rFonts w:cs="Arial"/>
                <w:lang w:val="en-GB"/>
              </w:rPr>
            </w:pPr>
          </w:p>
        </w:tc>
        <w:tc>
          <w:tcPr>
            <w:tcW w:w="2652" w:type="dxa"/>
          </w:tcPr>
          <w:p w14:paraId="1B8F30EE" w14:textId="77777777" w:rsidR="008B3BF5" w:rsidRPr="00D84D56" w:rsidRDefault="008B3BF5" w:rsidP="008B3BF5">
            <w:pPr>
              <w:rPr>
                <w:rFonts w:cs="Arial"/>
                <w:lang w:val="en-GB"/>
              </w:rPr>
            </w:pPr>
          </w:p>
        </w:tc>
      </w:tr>
      <w:tr w:rsidR="00DC19F7" w:rsidRPr="00D84D56" w14:paraId="2CB9901E" w14:textId="77777777" w:rsidTr="00DC19F7">
        <w:tc>
          <w:tcPr>
            <w:tcW w:w="3629" w:type="dxa"/>
          </w:tcPr>
          <w:p w14:paraId="559AE8C5" w14:textId="44C6B97A" w:rsidR="008B3BF5" w:rsidRPr="00D84D56" w:rsidRDefault="008B3BF5" w:rsidP="008B3BF5">
            <w:pPr>
              <w:rPr>
                <w:rFonts w:cs="Arial"/>
                <w:lang w:val="en-GB"/>
              </w:rPr>
            </w:pPr>
            <w:r w:rsidRPr="00D84D56">
              <w:rPr>
                <w:rFonts w:eastAsia="Calibri"/>
                <w:lang w:val="en-GB"/>
              </w:rPr>
              <w:t>Time off required for medical appointments. If any, how will this be managed? (</w:t>
            </w:r>
            <w:r w:rsidR="00C953B3">
              <w:rPr>
                <w:rFonts w:eastAsia="Calibri"/>
                <w:lang w:val="en-GB"/>
              </w:rPr>
              <w:t>for example:</w:t>
            </w:r>
            <w:r w:rsidRPr="00D84D56">
              <w:rPr>
                <w:rFonts w:eastAsia="Calibri"/>
                <w:lang w:val="en-GB"/>
              </w:rPr>
              <w:t xml:space="preserve"> flexible working)</w:t>
            </w:r>
          </w:p>
        </w:tc>
        <w:tc>
          <w:tcPr>
            <w:tcW w:w="2887" w:type="dxa"/>
          </w:tcPr>
          <w:p w14:paraId="7F035DAE" w14:textId="77777777" w:rsidR="008B3BF5" w:rsidRPr="00D84D56" w:rsidRDefault="008B3BF5" w:rsidP="008B3BF5">
            <w:pPr>
              <w:rPr>
                <w:rFonts w:cs="Arial"/>
                <w:lang w:val="en-GB"/>
              </w:rPr>
            </w:pPr>
          </w:p>
        </w:tc>
        <w:tc>
          <w:tcPr>
            <w:tcW w:w="2197" w:type="dxa"/>
          </w:tcPr>
          <w:p w14:paraId="32E0AD1A" w14:textId="703D6973" w:rsidR="008B3BF5" w:rsidRPr="00D84D56" w:rsidRDefault="008B3BF5" w:rsidP="008B3BF5">
            <w:pPr>
              <w:rPr>
                <w:rFonts w:cs="Arial"/>
                <w:lang w:val="en-GB"/>
              </w:rPr>
            </w:pPr>
          </w:p>
        </w:tc>
        <w:tc>
          <w:tcPr>
            <w:tcW w:w="2197" w:type="dxa"/>
          </w:tcPr>
          <w:p w14:paraId="705D889F" w14:textId="77777777" w:rsidR="008B3BF5" w:rsidRPr="00D84D56" w:rsidRDefault="008B3BF5" w:rsidP="008B3BF5">
            <w:pPr>
              <w:rPr>
                <w:rFonts w:cs="Arial"/>
                <w:lang w:val="en-GB"/>
              </w:rPr>
            </w:pPr>
          </w:p>
        </w:tc>
        <w:tc>
          <w:tcPr>
            <w:tcW w:w="2652" w:type="dxa"/>
          </w:tcPr>
          <w:p w14:paraId="4F4F3538" w14:textId="77777777" w:rsidR="008B3BF5" w:rsidRPr="00D84D56" w:rsidRDefault="008B3BF5" w:rsidP="008B3BF5">
            <w:pPr>
              <w:rPr>
                <w:rFonts w:cs="Arial"/>
                <w:lang w:val="en-GB"/>
              </w:rPr>
            </w:pPr>
          </w:p>
        </w:tc>
      </w:tr>
      <w:tr w:rsidR="00DC19F7" w:rsidRPr="00D84D56" w14:paraId="2ED07D6C" w14:textId="77777777" w:rsidTr="00DC19F7">
        <w:tc>
          <w:tcPr>
            <w:tcW w:w="3629" w:type="dxa"/>
          </w:tcPr>
          <w:p w14:paraId="65120DE8" w14:textId="489E02B1" w:rsidR="008B3BF5" w:rsidRPr="00D84D56" w:rsidRDefault="008B3BF5" w:rsidP="008B3BF5">
            <w:pPr>
              <w:rPr>
                <w:rFonts w:cs="Arial"/>
                <w:lang w:val="en-GB"/>
              </w:rPr>
            </w:pPr>
            <w:r w:rsidRPr="00D84D56">
              <w:rPr>
                <w:rFonts w:cs="Arial"/>
                <w:lang w:val="en-GB"/>
              </w:rPr>
              <w:t>Timescales for surgery and possible time off work (if applicable or known).</w:t>
            </w:r>
          </w:p>
        </w:tc>
        <w:tc>
          <w:tcPr>
            <w:tcW w:w="2887" w:type="dxa"/>
          </w:tcPr>
          <w:p w14:paraId="00AC709A" w14:textId="77777777" w:rsidR="008B3BF5" w:rsidRPr="00D84D56" w:rsidRDefault="008B3BF5" w:rsidP="008B3BF5">
            <w:pPr>
              <w:rPr>
                <w:rFonts w:cs="Arial"/>
                <w:lang w:val="en-GB"/>
              </w:rPr>
            </w:pPr>
          </w:p>
        </w:tc>
        <w:tc>
          <w:tcPr>
            <w:tcW w:w="2197" w:type="dxa"/>
          </w:tcPr>
          <w:p w14:paraId="726865F6" w14:textId="77777777" w:rsidR="008B3BF5" w:rsidRPr="00D84D56" w:rsidRDefault="008B3BF5" w:rsidP="008B3BF5">
            <w:pPr>
              <w:rPr>
                <w:rFonts w:cs="Arial"/>
                <w:lang w:val="en-GB"/>
              </w:rPr>
            </w:pPr>
          </w:p>
        </w:tc>
        <w:tc>
          <w:tcPr>
            <w:tcW w:w="2197" w:type="dxa"/>
          </w:tcPr>
          <w:p w14:paraId="2A1C7A0B" w14:textId="77777777" w:rsidR="008B3BF5" w:rsidRPr="00D84D56" w:rsidRDefault="008B3BF5" w:rsidP="008B3BF5">
            <w:pPr>
              <w:rPr>
                <w:rFonts w:cs="Arial"/>
                <w:lang w:val="en-GB"/>
              </w:rPr>
            </w:pPr>
          </w:p>
        </w:tc>
        <w:tc>
          <w:tcPr>
            <w:tcW w:w="2652" w:type="dxa"/>
          </w:tcPr>
          <w:p w14:paraId="2182B7C3" w14:textId="77777777" w:rsidR="008B3BF5" w:rsidRPr="00D84D56" w:rsidRDefault="008B3BF5" w:rsidP="008B3BF5">
            <w:pPr>
              <w:rPr>
                <w:rFonts w:cs="Arial"/>
                <w:lang w:val="en-GB"/>
              </w:rPr>
            </w:pPr>
          </w:p>
        </w:tc>
      </w:tr>
      <w:tr w:rsidR="00DC19F7" w:rsidRPr="00D84D56" w14:paraId="7C8B77AB" w14:textId="77777777" w:rsidTr="00DC19F7">
        <w:tc>
          <w:tcPr>
            <w:tcW w:w="3629" w:type="dxa"/>
          </w:tcPr>
          <w:p w14:paraId="79F9452C" w14:textId="32420071" w:rsidR="008B3BF5" w:rsidRPr="00D84D56" w:rsidRDefault="008B3BF5" w:rsidP="008B3BF5">
            <w:pPr>
              <w:rPr>
                <w:rFonts w:cs="Arial"/>
                <w:lang w:val="en-GB"/>
              </w:rPr>
            </w:pPr>
            <w:r w:rsidRPr="00D84D56">
              <w:rPr>
                <w:rFonts w:cs="Arial"/>
                <w:lang w:val="en-GB"/>
              </w:rPr>
              <w:t>Contact arrangements during absence.</w:t>
            </w:r>
          </w:p>
        </w:tc>
        <w:tc>
          <w:tcPr>
            <w:tcW w:w="2887" w:type="dxa"/>
          </w:tcPr>
          <w:p w14:paraId="6ADFA49D" w14:textId="77777777" w:rsidR="008B3BF5" w:rsidRPr="00D84D56" w:rsidRDefault="008B3BF5" w:rsidP="008B3BF5">
            <w:pPr>
              <w:rPr>
                <w:rFonts w:cs="Arial"/>
                <w:lang w:val="en-GB"/>
              </w:rPr>
            </w:pPr>
          </w:p>
        </w:tc>
        <w:tc>
          <w:tcPr>
            <w:tcW w:w="2197" w:type="dxa"/>
          </w:tcPr>
          <w:p w14:paraId="20BB1026" w14:textId="77777777" w:rsidR="008B3BF5" w:rsidRPr="00D84D56" w:rsidRDefault="008B3BF5" w:rsidP="008B3BF5">
            <w:pPr>
              <w:rPr>
                <w:rFonts w:cs="Arial"/>
                <w:lang w:val="en-GB"/>
              </w:rPr>
            </w:pPr>
          </w:p>
        </w:tc>
        <w:tc>
          <w:tcPr>
            <w:tcW w:w="2197" w:type="dxa"/>
          </w:tcPr>
          <w:p w14:paraId="4367580C" w14:textId="77777777" w:rsidR="008B3BF5" w:rsidRPr="00D84D56" w:rsidRDefault="008B3BF5" w:rsidP="008B3BF5">
            <w:pPr>
              <w:rPr>
                <w:rFonts w:cs="Arial"/>
                <w:lang w:val="en-GB"/>
              </w:rPr>
            </w:pPr>
          </w:p>
        </w:tc>
        <w:tc>
          <w:tcPr>
            <w:tcW w:w="2652" w:type="dxa"/>
          </w:tcPr>
          <w:p w14:paraId="6EA9A0D2" w14:textId="77777777" w:rsidR="008B3BF5" w:rsidRPr="00D84D56" w:rsidRDefault="008B3BF5" w:rsidP="008B3BF5">
            <w:pPr>
              <w:rPr>
                <w:rFonts w:cs="Arial"/>
                <w:lang w:val="en-GB"/>
              </w:rPr>
            </w:pPr>
          </w:p>
        </w:tc>
      </w:tr>
      <w:tr w:rsidR="00DC19F7" w:rsidRPr="00D84D56" w14:paraId="49B6485F" w14:textId="77777777" w:rsidTr="00DC19F7">
        <w:tc>
          <w:tcPr>
            <w:tcW w:w="3629" w:type="dxa"/>
          </w:tcPr>
          <w:p w14:paraId="65DAA284" w14:textId="6E92728C" w:rsidR="008B3BF5" w:rsidRPr="00D84D56" w:rsidRDefault="008B3BF5" w:rsidP="008B3BF5">
            <w:pPr>
              <w:rPr>
                <w:rFonts w:cs="Arial"/>
                <w:lang w:val="en-GB"/>
              </w:rPr>
            </w:pPr>
            <w:r w:rsidRPr="00D84D56">
              <w:rPr>
                <w:rFonts w:cs="Arial"/>
                <w:lang w:val="en-GB"/>
              </w:rPr>
              <w:t>Support, information, training on gender identity, trans equality etc. for the individual or colleagues, clients etc.</w:t>
            </w:r>
          </w:p>
        </w:tc>
        <w:tc>
          <w:tcPr>
            <w:tcW w:w="2887" w:type="dxa"/>
          </w:tcPr>
          <w:p w14:paraId="5DFD59C9" w14:textId="77777777" w:rsidR="008B3BF5" w:rsidRPr="00D84D56" w:rsidRDefault="008B3BF5" w:rsidP="008B3BF5">
            <w:pPr>
              <w:rPr>
                <w:rFonts w:cs="Arial"/>
                <w:lang w:val="en-GB"/>
              </w:rPr>
            </w:pPr>
          </w:p>
        </w:tc>
        <w:tc>
          <w:tcPr>
            <w:tcW w:w="2197" w:type="dxa"/>
          </w:tcPr>
          <w:p w14:paraId="0F999712" w14:textId="3F2DE029" w:rsidR="008B3BF5" w:rsidRPr="00D84D56" w:rsidRDefault="008B3BF5" w:rsidP="008B3BF5">
            <w:pPr>
              <w:rPr>
                <w:rFonts w:cs="Arial"/>
                <w:lang w:val="en-GB"/>
              </w:rPr>
            </w:pPr>
          </w:p>
        </w:tc>
        <w:tc>
          <w:tcPr>
            <w:tcW w:w="2197" w:type="dxa"/>
          </w:tcPr>
          <w:p w14:paraId="12453D59" w14:textId="77777777" w:rsidR="008B3BF5" w:rsidRPr="00D84D56" w:rsidRDefault="008B3BF5" w:rsidP="008B3BF5">
            <w:pPr>
              <w:rPr>
                <w:rFonts w:cs="Arial"/>
                <w:lang w:val="en-GB"/>
              </w:rPr>
            </w:pPr>
          </w:p>
        </w:tc>
        <w:tc>
          <w:tcPr>
            <w:tcW w:w="2652" w:type="dxa"/>
          </w:tcPr>
          <w:p w14:paraId="054F2E77" w14:textId="77777777" w:rsidR="008B3BF5" w:rsidRPr="00D84D56" w:rsidRDefault="008B3BF5" w:rsidP="008B3BF5">
            <w:pPr>
              <w:rPr>
                <w:rFonts w:cs="Arial"/>
                <w:lang w:val="en-GB"/>
              </w:rPr>
            </w:pPr>
          </w:p>
        </w:tc>
      </w:tr>
      <w:tr w:rsidR="00DC19F7" w:rsidRPr="00D84D56" w14:paraId="5D3B796E" w14:textId="77777777" w:rsidTr="00DC19F7">
        <w:tc>
          <w:tcPr>
            <w:tcW w:w="3629" w:type="dxa"/>
          </w:tcPr>
          <w:p w14:paraId="710346BD" w14:textId="2315C9C1" w:rsidR="008B3BF5" w:rsidRPr="00D84D56" w:rsidRDefault="008B3BF5" w:rsidP="008B3BF5">
            <w:pPr>
              <w:rPr>
                <w:rFonts w:cs="Arial"/>
                <w:lang w:val="en-GB"/>
              </w:rPr>
            </w:pPr>
            <w:r w:rsidRPr="00D84D56">
              <w:rPr>
                <w:rFonts w:cs="Arial"/>
                <w:lang w:val="en-GB"/>
              </w:rPr>
              <w:t>Who do I report any incidents to?</w:t>
            </w:r>
          </w:p>
        </w:tc>
        <w:tc>
          <w:tcPr>
            <w:tcW w:w="2887" w:type="dxa"/>
          </w:tcPr>
          <w:p w14:paraId="1CD16DB4" w14:textId="77777777" w:rsidR="008B3BF5" w:rsidRPr="00D84D56" w:rsidRDefault="008B3BF5" w:rsidP="008B3BF5">
            <w:pPr>
              <w:rPr>
                <w:rFonts w:cs="Arial"/>
                <w:lang w:val="en-GB"/>
              </w:rPr>
            </w:pPr>
          </w:p>
        </w:tc>
        <w:tc>
          <w:tcPr>
            <w:tcW w:w="2197" w:type="dxa"/>
          </w:tcPr>
          <w:p w14:paraId="25BDC5E2" w14:textId="5B6A6C81" w:rsidR="008B3BF5" w:rsidRPr="00D84D56" w:rsidRDefault="008B3BF5" w:rsidP="008B3BF5">
            <w:pPr>
              <w:rPr>
                <w:rFonts w:cs="Arial"/>
                <w:lang w:val="en-GB"/>
              </w:rPr>
            </w:pPr>
          </w:p>
        </w:tc>
        <w:tc>
          <w:tcPr>
            <w:tcW w:w="2197" w:type="dxa"/>
          </w:tcPr>
          <w:p w14:paraId="7C5D4770" w14:textId="77777777" w:rsidR="008B3BF5" w:rsidRPr="00D84D56" w:rsidRDefault="008B3BF5" w:rsidP="008B3BF5">
            <w:pPr>
              <w:rPr>
                <w:rFonts w:cs="Arial"/>
                <w:lang w:val="en-GB"/>
              </w:rPr>
            </w:pPr>
          </w:p>
        </w:tc>
        <w:tc>
          <w:tcPr>
            <w:tcW w:w="2652" w:type="dxa"/>
          </w:tcPr>
          <w:p w14:paraId="218A99D0" w14:textId="77777777" w:rsidR="008B3BF5" w:rsidRPr="00D84D56" w:rsidRDefault="008B3BF5" w:rsidP="008B3BF5">
            <w:pPr>
              <w:rPr>
                <w:rFonts w:cs="Arial"/>
                <w:lang w:val="en-GB"/>
              </w:rPr>
            </w:pPr>
          </w:p>
        </w:tc>
      </w:tr>
      <w:tr w:rsidR="00DC19F7" w:rsidRPr="00D84D56" w14:paraId="044F6B0D" w14:textId="77777777" w:rsidTr="00DC19F7">
        <w:tc>
          <w:tcPr>
            <w:tcW w:w="3629" w:type="dxa"/>
          </w:tcPr>
          <w:p w14:paraId="3864D0E8" w14:textId="4AE3A0A5" w:rsidR="008B3BF5" w:rsidRPr="00D84D56" w:rsidRDefault="008B3BF5" w:rsidP="008B3BF5">
            <w:pPr>
              <w:rPr>
                <w:rFonts w:eastAsia="Calibri"/>
                <w:lang w:val="en-GB"/>
              </w:rPr>
            </w:pPr>
            <w:r w:rsidRPr="00D84D56">
              <w:rPr>
                <w:rFonts w:cs="Arial"/>
                <w:lang w:val="en-GB"/>
              </w:rPr>
              <w:t>Who knows already and who needs to be informed and how. (</w:t>
            </w:r>
            <w:r w:rsidR="00C953B3">
              <w:rPr>
                <w:rFonts w:cs="Arial"/>
                <w:lang w:val="en-GB"/>
              </w:rPr>
              <w:t>for example:</w:t>
            </w:r>
            <w:r w:rsidRPr="00D84D56">
              <w:rPr>
                <w:rFonts w:cs="Arial"/>
                <w:lang w:val="en-GB"/>
              </w:rPr>
              <w:t xml:space="preserve"> friends, colleagues, TU/ clubs/ societies? accommodation? placement)</w:t>
            </w:r>
          </w:p>
        </w:tc>
        <w:tc>
          <w:tcPr>
            <w:tcW w:w="2887" w:type="dxa"/>
          </w:tcPr>
          <w:p w14:paraId="0EAF28E1" w14:textId="77777777" w:rsidR="008B3BF5" w:rsidRPr="00D84D56" w:rsidRDefault="008B3BF5" w:rsidP="008B3BF5">
            <w:pPr>
              <w:rPr>
                <w:rFonts w:cs="Arial"/>
                <w:lang w:val="en-GB"/>
              </w:rPr>
            </w:pPr>
          </w:p>
        </w:tc>
        <w:tc>
          <w:tcPr>
            <w:tcW w:w="2197" w:type="dxa"/>
          </w:tcPr>
          <w:p w14:paraId="70BFF5FC" w14:textId="77777777" w:rsidR="008B3BF5" w:rsidRPr="00D84D56" w:rsidRDefault="008B3BF5" w:rsidP="008B3BF5">
            <w:pPr>
              <w:rPr>
                <w:rFonts w:cs="Arial"/>
                <w:lang w:val="en-GB"/>
              </w:rPr>
            </w:pPr>
          </w:p>
        </w:tc>
        <w:tc>
          <w:tcPr>
            <w:tcW w:w="2197" w:type="dxa"/>
          </w:tcPr>
          <w:p w14:paraId="0F4CB1DF" w14:textId="77777777" w:rsidR="008B3BF5" w:rsidRPr="00D84D56" w:rsidRDefault="008B3BF5" w:rsidP="008B3BF5">
            <w:pPr>
              <w:rPr>
                <w:rFonts w:cs="Arial"/>
                <w:lang w:val="en-GB"/>
              </w:rPr>
            </w:pPr>
          </w:p>
        </w:tc>
        <w:tc>
          <w:tcPr>
            <w:tcW w:w="2652" w:type="dxa"/>
          </w:tcPr>
          <w:p w14:paraId="0C506C17" w14:textId="77777777" w:rsidR="008B3BF5" w:rsidRPr="00D84D56" w:rsidRDefault="008B3BF5" w:rsidP="008B3BF5">
            <w:pPr>
              <w:rPr>
                <w:rFonts w:cs="Arial"/>
                <w:lang w:val="en-GB"/>
              </w:rPr>
            </w:pPr>
          </w:p>
        </w:tc>
      </w:tr>
      <w:tr w:rsidR="00DC19F7" w:rsidRPr="00D84D56" w14:paraId="1BA33E53" w14:textId="77777777" w:rsidTr="00DC19F7">
        <w:tc>
          <w:tcPr>
            <w:tcW w:w="3629" w:type="dxa"/>
          </w:tcPr>
          <w:p w14:paraId="21479F5B" w14:textId="128DBE00" w:rsidR="008B3BF5" w:rsidRPr="00D84D56" w:rsidRDefault="008B3BF5" w:rsidP="008B3BF5">
            <w:pPr>
              <w:rPr>
                <w:rFonts w:cs="Arial"/>
                <w:lang w:val="en-GB"/>
              </w:rPr>
            </w:pPr>
            <w:r w:rsidRPr="00D84D56">
              <w:rPr>
                <w:rFonts w:cs="Arial"/>
                <w:lang w:val="en-GB"/>
              </w:rPr>
              <w:t>Toilets and changing facilities.</w:t>
            </w:r>
          </w:p>
        </w:tc>
        <w:tc>
          <w:tcPr>
            <w:tcW w:w="2887" w:type="dxa"/>
          </w:tcPr>
          <w:p w14:paraId="53B917A9" w14:textId="77777777" w:rsidR="008B3BF5" w:rsidRPr="00D84D56" w:rsidRDefault="008B3BF5" w:rsidP="008B3BF5">
            <w:pPr>
              <w:rPr>
                <w:rFonts w:cs="Arial"/>
                <w:lang w:val="en-GB"/>
              </w:rPr>
            </w:pPr>
          </w:p>
        </w:tc>
        <w:tc>
          <w:tcPr>
            <w:tcW w:w="2197" w:type="dxa"/>
          </w:tcPr>
          <w:p w14:paraId="7ECD91AC" w14:textId="77777777" w:rsidR="008B3BF5" w:rsidRPr="00D84D56" w:rsidRDefault="008B3BF5" w:rsidP="008B3BF5">
            <w:pPr>
              <w:rPr>
                <w:rFonts w:cs="Arial"/>
                <w:lang w:val="en-GB"/>
              </w:rPr>
            </w:pPr>
          </w:p>
        </w:tc>
        <w:tc>
          <w:tcPr>
            <w:tcW w:w="2197" w:type="dxa"/>
          </w:tcPr>
          <w:p w14:paraId="2F5A672D" w14:textId="77777777" w:rsidR="008B3BF5" w:rsidRPr="00D84D56" w:rsidRDefault="008B3BF5" w:rsidP="008B3BF5">
            <w:pPr>
              <w:rPr>
                <w:rFonts w:cs="Arial"/>
                <w:lang w:val="en-GB"/>
              </w:rPr>
            </w:pPr>
          </w:p>
        </w:tc>
        <w:tc>
          <w:tcPr>
            <w:tcW w:w="2652" w:type="dxa"/>
          </w:tcPr>
          <w:p w14:paraId="3A34EE35" w14:textId="77777777" w:rsidR="008B3BF5" w:rsidRPr="00D84D56" w:rsidRDefault="008B3BF5" w:rsidP="008B3BF5">
            <w:pPr>
              <w:rPr>
                <w:rFonts w:cs="Arial"/>
                <w:lang w:val="en-GB"/>
              </w:rPr>
            </w:pPr>
          </w:p>
        </w:tc>
      </w:tr>
      <w:tr w:rsidR="00DC19F7" w:rsidRPr="00D84D56" w14:paraId="1C2C8B87" w14:textId="77777777" w:rsidTr="00DC19F7">
        <w:tc>
          <w:tcPr>
            <w:tcW w:w="3629" w:type="dxa"/>
          </w:tcPr>
          <w:p w14:paraId="4DAE6BFE" w14:textId="7FF8D9AB" w:rsidR="008B3BF5" w:rsidRPr="00D84D56" w:rsidRDefault="008B3BF5" w:rsidP="008B3BF5">
            <w:pPr>
              <w:rPr>
                <w:rFonts w:cs="Arial"/>
                <w:lang w:val="en-GB"/>
              </w:rPr>
            </w:pPr>
            <w:r w:rsidRPr="00D84D56">
              <w:rPr>
                <w:rFonts w:cs="Arial"/>
                <w:lang w:val="en-GB"/>
              </w:rPr>
              <w:t>Dress code (</w:t>
            </w:r>
            <w:r w:rsidR="00C953B3">
              <w:rPr>
                <w:rFonts w:cs="Arial"/>
                <w:lang w:val="en-GB"/>
              </w:rPr>
              <w:t>for example:</w:t>
            </w:r>
            <w:r w:rsidRPr="00D84D56">
              <w:rPr>
                <w:rFonts w:cs="Arial"/>
                <w:lang w:val="en-GB"/>
              </w:rPr>
              <w:t xml:space="preserve"> uniforms).</w:t>
            </w:r>
          </w:p>
        </w:tc>
        <w:tc>
          <w:tcPr>
            <w:tcW w:w="2887" w:type="dxa"/>
          </w:tcPr>
          <w:p w14:paraId="6D54C3D3" w14:textId="77777777" w:rsidR="008B3BF5" w:rsidRPr="00D84D56" w:rsidRDefault="008B3BF5" w:rsidP="008B3BF5">
            <w:pPr>
              <w:rPr>
                <w:rFonts w:cs="Arial"/>
                <w:lang w:val="en-GB"/>
              </w:rPr>
            </w:pPr>
          </w:p>
        </w:tc>
        <w:tc>
          <w:tcPr>
            <w:tcW w:w="2197" w:type="dxa"/>
          </w:tcPr>
          <w:p w14:paraId="3771D2DB" w14:textId="296A47E4" w:rsidR="008B3BF5" w:rsidRPr="00D84D56" w:rsidRDefault="008B3BF5" w:rsidP="008B3BF5">
            <w:pPr>
              <w:rPr>
                <w:rFonts w:cs="Arial"/>
                <w:lang w:val="en-GB"/>
              </w:rPr>
            </w:pPr>
          </w:p>
        </w:tc>
        <w:tc>
          <w:tcPr>
            <w:tcW w:w="2197" w:type="dxa"/>
          </w:tcPr>
          <w:p w14:paraId="24B2DE66" w14:textId="77777777" w:rsidR="008B3BF5" w:rsidRPr="00D84D56" w:rsidRDefault="008B3BF5" w:rsidP="008B3BF5">
            <w:pPr>
              <w:rPr>
                <w:rFonts w:cs="Arial"/>
                <w:lang w:val="en-GB"/>
              </w:rPr>
            </w:pPr>
          </w:p>
        </w:tc>
        <w:tc>
          <w:tcPr>
            <w:tcW w:w="2652" w:type="dxa"/>
          </w:tcPr>
          <w:p w14:paraId="7D0AA36D" w14:textId="77777777" w:rsidR="008B3BF5" w:rsidRPr="00D84D56" w:rsidRDefault="008B3BF5" w:rsidP="008B3BF5">
            <w:pPr>
              <w:rPr>
                <w:rFonts w:cs="Arial"/>
                <w:lang w:val="en-GB"/>
              </w:rPr>
            </w:pPr>
          </w:p>
        </w:tc>
      </w:tr>
      <w:tr w:rsidR="00DC19F7" w:rsidRPr="00D84D56" w14:paraId="055AEC0E" w14:textId="77777777" w:rsidTr="00DC19F7">
        <w:tc>
          <w:tcPr>
            <w:tcW w:w="3629" w:type="dxa"/>
          </w:tcPr>
          <w:p w14:paraId="73F1887D" w14:textId="1D81EAC9" w:rsidR="008B3BF5" w:rsidRPr="00D84D56" w:rsidRDefault="008B3BF5" w:rsidP="008B3BF5">
            <w:pPr>
              <w:rPr>
                <w:rFonts w:cs="Arial"/>
                <w:lang w:val="en-GB"/>
              </w:rPr>
            </w:pPr>
            <w:r w:rsidRPr="00D84D56">
              <w:rPr>
                <w:rFonts w:cs="Arial"/>
                <w:lang w:val="en-GB"/>
              </w:rPr>
              <w:t>Who else needs to know? (</w:t>
            </w:r>
            <w:r w:rsidR="00C953B3">
              <w:rPr>
                <w:rFonts w:cs="Arial"/>
                <w:lang w:val="en-GB"/>
              </w:rPr>
              <w:t>For example:</w:t>
            </w:r>
            <w:r w:rsidRPr="00D84D56">
              <w:rPr>
                <w:rFonts w:cs="Arial"/>
                <w:lang w:val="en-GB"/>
              </w:rPr>
              <w:t xml:space="preserve"> finance, payroll, pensions, banks)</w:t>
            </w:r>
          </w:p>
        </w:tc>
        <w:tc>
          <w:tcPr>
            <w:tcW w:w="2887" w:type="dxa"/>
          </w:tcPr>
          <w:p w14:paraId="02DC7E6A" w14:textId="77777777" w:rsidR="008B3BF5" w:rsidRPr="00D84D56" w:rsidRDefault="008B3BF5" w:rsidP="008B3BF5">
            <w:pPr>
              <w:rPr>
                <w:rFonts w:cs="Arial"/>
                <w:lang w:val="en-GB"/>
              </w:rPr>
            </w:pPr>
          </w:p>
        </w:tc>
        <w:tc>
          <w:tcPr>
            <w:tcW w:w="2197" w:type="dxa"/>
          </w:tcPr>
          <w:p w14:paraId="140E2A6F" w14:textId="67E97939" w:rsidR="008B3BF5" w:rsidRPr="00D84D56" w:rsidRDefault="008B3BF5" w:rsidP="008B3BF5">
            <w:pPr>
              <w:rPr>
                <w:rFonts w:cs="Arial"/>
                <w:lang w:val="en-GB"/>
              </w:rPr>
            </w:pPr>
          </w:p>
        </w:tc>
        <w:tc>
          <w:tcPr>
            <w:tcW w:w="2197" w:type="dxa"/>
          </w:tcPr>
          <w:p w14:paraId="7E7EA416" w14:textId="77777777" w:rsidR="008B3BF5" w:rsidRPr="00D84D56" w:rsidRDefault="008B3BF5" w:rsidP="008B3BF5">
            <w:pPr>
              <w:rPr>
                <w:rFonts w:cs="Arial"/>
                <w:lang w:val="en-GB"/>
              </w:rPr>
            </w:pPr>
          </w:p>
        </w:tc>
        <w:tc>
          <w:tcPr>
            <w:tcW w:w="2652" w:type="dxa"/>
          </w:tcPr>
          <w:p w14:paraId="5B69CFEF" w14:textId="77777777" w:rsidR="008B3BF5" w:rsidRPr="00D84D56" w:rsidRDefault="008B3BF5" w:rsidP="008B3BF5">
            <w:pPr>
              <w:rPr>
                <w:rFonts w:cs="Arial"/>
                <w:lang w:val="en-GB"/>
              </w:rPr>
            </w:pPr>
          </w:p>
        </w:tc>
      </w:tr>
      <w:tr w:rsidR="00DC19F7" w:rsidRPr="00D84D56" w14:paraId="2D82316D" w14:textId="77777777" w:rsidTr="00DC19F7">
        <w:tc>
          <w:tcPr>
            <w:tcW w:w="3629" w:type="dxa"/>
          </w:tcPr>
          <w:p w14:paraId="0C1E7B9A" w14:textId="0B5236DB" w:rsidR="008B3BF5" w:rsidRPr="00D84D56" w:rsidRDefault="008B3BF5" w:rsidP="008B3BF5">
            <w:pPr>
              <w:rPr>
                <w:rFonts w:cs="Arial"/>
                <w:lang w:val="en-GB"/>
              </w:rPr>
            </w:pPr>
            <w:r w:rsidRPr="00D84D56">
              <w:rPr>
                <w:rFonts w:cs="Arial"/>
                <w:lang w:val="en-GB"/>
              </w:rPr>
              <w:t>Required documents.</w:t>
            </w:r>
          </w:p>
        </w:tc>
        <w:tc>
          <w:tcPr>
            <w:tcW w:w="2887" w:type="dxa"/>
          </w:tcPr>
          <w:p w14:paraId="3DBABA01" w14:textId="77777777" w:rsidR="008B3BF5" w:rsidRPr="00D84D56" w:rsidRDefault="008B3BF5" w:rsidP="008B3BF5">
            <w:pPr>
              <w:rPr>
                <w:rFonts w:cs="Arial"/>
                <w:lang w:val="en-GB"/>
              </w:rPr>
            </w:pPr>
          </w:p>
        </w:tc>
        <w:tc>
          <w:tcPr>
            <w:tcW w:w="2197" w:type="dxa"/>
          </w:tcPr>
          <w:p w14:paraId="0878845D" w14:textId="5FEA61E7" w:rsidR="008B3BF5" w:rsidRPr="00D84D56" w:rsidRDefault="008B3BF5" w:rsidP="008B3BF5">
            <w:pPr>
              <w:rPr>
                <w:rFonts w:cs="Arial"/>
                <w:lang w:val="en-GB"/>
              </w:rPr>
            </w:pPr>
          </w:p>
        </w:tc>
        <w:tc>
          <w:tcPr>
            <w:tcW w:w="2197" w:type="dxa"/>
          </w:tcPr>
          <w:p w14:paraId="127A86DB" w14:textId="77777777" w:rsidR="008B3BF5" w:rsidRPr="00D84D56" w:rsidRDefault="008B3BF5" w:rsidP="008B3BF5">
            <w:pPr>
              <w:rPr>
                <w:rFonts w:cs="Arial"/>
                <w:lang w:val="en-GB"/>
              </w:rPr>
            </w:pPr>
          </w:p>
        </w:tc>
        <w:tc>
          <w:tcPr>
            <w:tcW w:w="2652" w:type="dxa"/>
          </w:tcPr>
          <w:p w14:paraId="01943357" w14:textId="77777777" w:rsidR="008B3BF5" w:rsidRPr="00D84D56" w:rsidRDefault="008B3BF5" w:rsidP="008B3BF5">
            <w:pPr>
              <w:rPr>
                <w:rFonts w:cs="Arial"/>
                <w:lang w:val="en-GB"/>
              </w:rPr>
            </w:pPr>
          </w:p>
        </w:tc>
      </w:tr>
      <w:tr w:rsidR="00DC19F7" w:rsidRPr="00D84D56" w14:paraId="2EF038B5" w14:textId="77777777" w:rsidTr="00DC19F7">
        <w:tc>
          <w:tcPr>
            <w:tcW w:w="3629" w:type="dxa"/>
          </w:tcPr>
          <w:p w14:paraId="35592FAB" w14:textId="188B05DD" w:rsidR="008B3BF5" w:rsidRPr="00D84D56" w:rsidRDefault="008B3BF5" w:rsidP="008B3BF5">
            <w:pPr>
              <w:rPr>
                <w:rFonts w:cs="Arial"/>
                <w:lang w:val="en-GB"/>
              </w:rPr>
            </w:pPr>
            <w:r w:rsidRPr="00D84D56">
              <w:rPr>
                <w:rFonts w:cs="Arial"/>
                <w:lang w:val="en-GB"/>
              </w:rPr>
              <w:t>Any guidance material that the employee wishes to share with the manager/ colleagues/ Council?</w:t>
            </w:r>
          </w:p>
        </w:tc>
        <w:tc>
          <w:tcPr>
            <w:tcW w:w="2887" w:type="dxa"/>
          </w:tcPr>
          <w:p w14:paraId="3986798E" w14:textId="77777777" w:rsidR="008B3BF5" w:rsidRPr="00D84D56" w:rsidRDefault="008B3BF5" w:rsidP="008B3BF5">
            <w:pPr>
              <w:rPr>
                <w:rFonts w:cs="Arial"/>
                <w:lang w:val="en-GB"/>
              </w:rPr>
            </w:pPr>
          </w:p>
        </w:tc>
        <w:tc>
          <w:tcPr>
            <w:tcW w:w="2197" w:type="dxa"/>
          </w:tcPr>
          <w:p w14:paraId="76F20C88" w14:textId="77777777" w:rsidR="008B3BF5" w:rsidRPr="00D84D56" w:rsidRDefault="008B3BF5" w:rsidP="008B3BF5">
            <w:pPr>
              <w:rPr>
                <w:rFonts w:cs="Arial"/>
                <w:lang w:val="en-GB"/>
              </w:rPr>
            </w:pPr>
          </w:p>
        </w:tc>
        <w:tc>
          <w:tcPr>
            <w:tcW w:w="2197" w:type="dxa"/>
          </w:tcPr>
          <w:p w14:paraId="3ED7B657" w14:textId="77777777" w:rsidR="008B3BF5" w:rsidRPr="00D84D56" w:rsidRDefault="008B3BF5" w:rsidP="008B3BF5">
            <w:pPr>
              <w:rPr>
                <w:rFonts w:cs="Arial"/>
                <w:lang w:val="en-GB"/>
              </w:rPr>
            </w:pPr>
          </w:p>
        </w:tc>
        <w:tc>
          <w:tcPr>
            <w:tcW w:w="2652" w:type="dxa"/>
          </w:tcPr>
          <w:p w14:paraId="747B0809" w14:textId="77777777" w:rsidR="008B3BF5" w:rsidRPr="00D84D56" w:rsidRDefault="008B3BF5" w:rsidP="008B3BF5">
            <w:pPr>
              <w:rPr>
                <w:rFonts w:cs="Arial"/>
                <w:lang w:val="en-GB"/>
              </w:rPr>
            </w:pPr>
          </w:p>
        </w:tc>
      </w:tr>
      <w:tr w:rsidR="00DC19F7" w:rsidRPr="00D84D56" w14:paraId="3B7FC870" w14:textId="77777777" w:rsidTr="00DC19F7">
        <w:tc>
          <w:tcPr>
            <w:tcW w:w="3629" w:type="dxa"/>
          </w:tcPr>
          <w:p w14:paraId="15930C9F" w14:textId="323474D5" w:rsidR="008B3BF5" w:rsidRPr="00D84D56" w:rsidRDefault="008B3BF5" w:rsidP="008B3BF5">
            <w:pPr>
              <w:rPr>
                <w:rFonts w:cs="Arial"/>
                <w:lang w:val="en-GB"/>
              </w:rPr>
            </w:pPr>
            <w:r w:rsidRPr="00D84D56">
              <w:rPr>
                <w:rFonts w:cs="Arial"/>
                <w:lang w:val="en-GB"/>
              </w:rPr>
              <w:t>Anything else?</w:t>
            </w:r>
          </w:p>
        </w:tc>
        <w:tc>
          <w:tcPr>
            <w:tcW w:w="2887" w:type="dxa"/>
          </w:tcPr>
          <w:p w14:paraId="4557E8B5" w14:textId="77777777" w:rsidR="008B3BF5" w:rsidRPr="00D84D56" w:rsidRDefault="008B3BF5" w:rsidP="008B3BF5">
            <w:pPr>
              <w:rPr>
                <w:rFonts w:cs="Arial"/>
                <w:lang w:val="en-GB"/>
              </w:rPr>
            </w:pPr>
          </w:p>
        </w:tc>
        <w:tc>
          <w:tcPr>
            <w:tcW w:w="2197" w:type="dxa"/>
          </w:tcPr>
          <w:p w14:paraId="58874364" w14:textId="77777777" w:rsidR="008B3BF5" w:rsidRPr="00D84D56" w:rsidRDefault="008B3BF5" w:rsidP="008B3BF5">
            <w:pPr>
              <w:rPr>
                <w:rFonts w:cs="Arial"/>
                <w:lang w:val="en-GB"/>
              </w:rPr>
            </w:pPr>
          </w:p>
        </w:tc>
        <w:tc>
          <w:tcPr>
            <w:tcW w:w="2197" w:type="dxa"/>
          </w:tcPr>
          <w:p w14:paraId="583132C9" w14:textId="77777777" w:rsidR="008B3BF5" w:rsidRPr="00D84D56" w:rsidRDefault="008B3BF5" w:rsidP="008B3BF5">
            <w:pPr>
              <w:rPr>
                <w:rFonts w:cs="Arial"/>
                <w:lang w:val="en-GB"/>
              </w:rPr>
            </w:pPr>
          </w:p>
        </w:tc>
        <w:tc>
          <w:tcPr>
            <w:tcW w:w="2652" w:type="dxa"/>
          </w:tcPr>
          <w:p w14:paraId="72763297" w14:textId="77777777" w:rsidR="008B3BF5" w:rsidRPr="00D84D56" w:rsidRDefault="008B3BF5" w:rsidP="008B3BF5">
            <w:pPr>
              <w:rPr>
                <w:rFonts w:cs="Arial"/>
                <w:lang w:val="en-GB"/>
              </w:rPr>
            </w:pPr>
          </w:p>
        </w:tc>
      </w:tr>
    </w:tbl>
    <w:p w14:paraId="1F54E700" w14:textId="29D1276E" w:rsidR="00944345" w:rsidRPr="00D84D56" w:rsidRDefault="00944345" w:rsidP="00E96DC4">
      <w:pPr>
        <w:rPr>
          <w:rFonts w:cs="Arial"/>
          <w:lang w:val="en-GB"/>
        </w:rPr>
      </w:pPr>
    </w:p>
    <w:p w14:paraId="57E2726A" w14:textId="77777777" w:rsidR="00E858F6" w:rsidRPr="00D84D56" w:rsidRDefault="00E858F6" w:rsidP="00E96DC4">
      <w:pPr>
        <w:rPr>
          <w:rFonts w:cs="Arial"/>
          <w:lang w:val="en-GB"/>
        </w:rPr>
      </w:pPr>
    </w:p>
    <w:tbl>
      <w:tblPr>
        <w:tblStyle w:val="TableGrid"/>
        <w:tblW w:w="0" w:type="auto"/>
        <w:tblLook w:val="04A0" w:firstRow="1" w:lastRow="0" w:firstColumn="1" w:lastColumn="0" w:noHBand="0" w:noVBand="1"/>
      </w:tblPr>
      <w:tblGrid>
        <w:gridCol w:w="2547"/>
        <w:gridCol w:w="2551"/>
      </w:tblGrid>
      <w:tr w:rsidR="00DC19F7" w:rsidRPr="00D84D56" w14:paraId="6EA6A2FB" w14:textId="77777777" w:rsidTr="00DC19F7">
        <w:tc>
          <w:tcPr>
            <w:tcW w:w="2547" w:type="dxa"/>
          </w:tcPr>
          <w:p w14:paraId="7C07CED3" w14:textId="025A09B5" w:rsidR="00DC19F7" w:rsidRPr="00D84D56" w:rsidRDefault="00DC19F7" w:rsidP="00AC0F73">
            <w:pPr>
              <w:rPr>
                <w:rFonts w:cs="Arial"/>
                <w:lang w:val="en-GB"/>
              </w:rPr>
            </w:pPr>
            <w:r w:rsidRPr="00D84D56">
              <w:rPr>
                <w:rFonts w:cs="Arial"/>
                <w:lang w:val="en-GB"/>
              </w:rPr>
              <w:t>Employee’s name</w:t>
            </w:r>
          </w:p>
        </w:tc>
        <w:tc>
          <w:tcPr>
            <w:tcW w:w="2551" w:type="dxa"/>
          </w:tcPr>
          <w:p w14:paraId="529664D2" w14:textId="77777777" w:rsidR="00DC19F7" w:rsidRPr="00D84D56" w:rsidRDefault="00DC19F7" w:rsidP="00AC0F73">
            <w:pPr>
              <w:rPr>
                <w:rFonts w:cs="Arial"/>
                <w:lang w:val="en-GB"/>
              </w:rPr>
            </w:pPr>
          </w:p>
        </w:tc>
      </w:tr>
      <w:tr w:rsidR="00DC19F7" w:rsidRPr="00D84D56" w14:paraId="1FE619BB" w14:textId="77777777" w:rsidTr="00DC19F7">
        <w:tc>
          <w:tcPr>
            <w:tcW w:w="2547" w:type="dxa"/>
          </w:tcPr>
          <w:p w14:paraId="09C75718" w14:textId="54F003AA" w:rsidR="00DC19F7" w:rsidRPr="00D84D56" w:rsidRDefault="00DC19F7" w:rsidP="00AC0F73">
            <w:pPr>
              <w:rPr>
                <w:rFonts w:cs="Arial"/>
                <w:lang w:val="en-GB"/>
              </w:rPr>
            </w:pPr>
            <w:r w:rsidRPr="00D84D56">
              <w:rPr>
                <w:rFonts w:cs="Arial"/>
                <w:lang w:val="en-GB"/>
              </w:rPr>
              <w:t>Manager’s name</w:t>
            </w:r>
          </w:p>
        </w:tc>
        <w:tc>
          <w:tcPr>
            <w:tcW w:w="2551" w:type="dxa"/>
          </w:tcPr>
          <w:p w14:paraId="3F64FA60" w14:textId="77777777" w:rsidR="00DC19F7" w:rsidRPr="00D84D56" w:rsidRDefault="00DC19F7" w:rsidP="00AC0F73">
            <w:pPr>
              <w:rPr>
                <w:rFonts w:cs="Arial"/>
                <w:lang w:val="en-GB"/>
              </w:rPr>
            </w:pPr>
          </w:p>
        </w:tc>
      </w:tr>
      <w:tr w:rsidR="00DC19F7" w:rsidRPr="00D84D56" w14:paraId="5B3C7ED2" w14:textId="77777777" w:rsidTr="00DC19F7">
        <w:tc>
          <w:tcPr>
            <w:tcW w:w="2547" w:type="dxa"/>
          </w:tcPr>
          <w:p w14:paraId="63CD9E57" w14:textId="06B82FAA" w:rsidR="00DC19F7" w:rsidRPr="00D84D56" w:rsidRDefault="00DC19F7" w:rsidP="00AC0F73">
            <w:pPr>
              <w:rPr>
                <w:rFonts w:cs="Arial"/>
                <w:lang w:val="en-GB"/>
              </w:rPr>
            </w:pPr>
            <w:r w:rsidRPr="00D84D56">
              <w:rPr>
                <w:rFonts w:cs="Arial"/>
                <w:lang w:val="en-GB"/>
              </w:rPr>
              <w:t>Date</w:t>
            </w:r>
          </w:p>
        </w:tc>
        <w:tc>
          <w:tcPr>
            <w:tcW w:w="2551" w:type="dxa"/>
          </w:tcPr>
          <w:p w14:paraId="624063AB" w14:textId="77777777" w:rsidR="00DC19F7" w:rsidRPr="00D84D56" w:rsidRDefault="00DC19F7" w:rsidP="00AC0F73">
            <w:pPr>
              <w:rPr>
                <w:rFonts w:cs="Arial"/>
                <w:lang w:val="en-GB"/>
              </w:rPr>
            </w:pPr>
          </w:p>
        </w:tc>
      </w:tr>
      <w:tr w:rsidR="00DC19F7" w:rsidRPr="00D84D56" w14:paraId="5B8395EA" w14:textId="77777777" w:rsidTr="00DC19F7">
        <w:tc>
          <w:tcPr>
            <w:tcW w:w="2547" w:type="dxa"/>
          </w:tcPr>
          <w:p w14:paraId="3ADA271D" w14:textId="58D36402" w:rsidR="00DC19F7" w:rsidRPr="00D84D56" w:rsidRDefault="00DC19F7" w:rsidP="00AC0F73">
            <w:pPr>
              <w:rPr>
                <w:rFonts w:cs="Arial"/>
                <w:lang w:val="en-GB"/>
              </w:rPr>
            </w:pPr>
            <w:r w:rsidRPr="00D84D56">
              <w:rPr>
                <w:rFonts w:cs="Arial"/>
                <w:lang w:val="en-GB"/>
              </w:rPr>
              <w:t>Date of review meeting</w:t>
            </w:r>
          </w:p>
        </w:tc>
        <w:tc>
          <w:tcPr>
            <w:tcW w:w="2551" w:type="dxa"/>
          </w:tcPr>
          <w:p w14:paraId="5E1B61CB" w14:textId="77777777" w:rsidR="00DC19F7" w:rsidRPr="00D84D56" w:rsidRDefault="00DC19F7" w:rsidP="00AC0F73">
            <w:pPr>
              <w:rPr>
                <w:rFonts w:cs="Arial"/>
                <w:lang w:val="en-GB"/>
              </w:rPr>
            </w:pPr>
          </w:p>
        </w:tc>
      </w:tr>
    </w:tbl>
    <w:p w14:paraId="68E4E3E0" w14:textId="77777777" w:rsidR="00DC19F7" w:rsidRPr="00D84D56" w:rsidRDefault="00DC19F7" w:rsidP="002E45C4">
      <w:pPr>
        <w:pStyle w:val="Heading1"/>
        <w:numPr>
          <w:ilvl w:val="0"/>
          <w:numId w:val="0"/>
        </w:numPr>
        <w:rPr>
          <w:lang w:val="en-GB"/>
        </w:rPr>
        <w:sectPr w:rsidR="00DC19F7" w:rsidRPr="00D84D56" w:rsidSect="00DC19F7">
          <w:pgSz w:w="15840" w:h="12240" w:orient="landscape"/>
          <w:pgMar w:top="1134" w:right="1134" w:bottom="1134" w:left="1134" w:header="720" w:footer="720" w:gutter="0"/>
          <w:cols w:space="720"/>
          <w:noEndnote/>
          <w:docGrid w:linePitch="299"/>
        </w:sectPr>
      </w:pPr>
    </w:p>
    <w:p w14:paraId="562D1CEB" w14:textId="334B400C" w:rsidR="00DD5FB8" w:rsidRPr="00D84D56" w:rsidRDefault="00DD5FB8" w:rsidP="002E45C4">
      <w:pPr>
        <w:pStyle w:val="Heading1"/>
        <w:numPr>
          <w:ilvl w:val="0"/>
          <w:numId w:val="0"/>
        </w:numPr>
        <w:rPr>
          <w:lang w:val="en-GB"/>
        </w:rPr>
      </w:pPr>
      <w:bookmarkStart w:id="20" w:name="_Appendix_4:_Sources"/>
      <w:bookmarkStart w:id="21" w:name="_Toc19273746"/>
      <w:bookmarkEnd w:id="20"/>
      <w:r w:rsidRPr="00D84D56">
        <w:rPr>
          <w:lang w:val="en-GB"/>
        </w:rPr>
        <w:t xml:space="preserve">Appendix </w:t>
      </w:r>
      <w:r w:rsidR="00EF4AA1" w:rsidRPr="00D84D56">
        <w:rPr>
          <w:lang w:val="en-GB"/>
        </w:rPr>
        <w:t>4</w:t>
      </w:r>
      <w:r w:rsidRPr="00D84D56">
        <w:rPr>
          <w:lang w:val="en-GB"/>
        </w:rPr>
        <w:t>: Sources of information, advice and support</w:t>
      </w:r>
      <w:bookmarkEnd w:id="21"/>
    </w:p>
    <w:p w14:paraId="1BBB4FB8" w14:textId="77777777" w:rsidR="00DD5FB8" w:rsidRPr="00D84D56" w:rsidRDefault="00DD5FB8" w:rsidP="00DD5FB8">
      <w:pPr>
        <w:rPr>
          <w:rFonts w:cs="Arial"/>
          <w:szCs w:val="22"/>
          <w:lang w:val="en-GB"/>
        </w:rPr>
      </w:pPr>
      <w:r w:rsidRPr="00D84D56">
        <w:rPr>
          <w:szCs w:val="22"/>
          <w:lang w:val="en-GB"/>
        </w:rPr>
        <w:t xml:space="preserve"> </w:t>
      </w:r>
    </w:p>
    <w:p w14:paraId="7BEE1258" w14:textId="638E7494" w:rsidR="00904FED" w:rsidRPr="00D84D56" w:rsidRDefault="00E64CA2" w:rsidP="003D61BE">
      <w:pPr>
        <w:pStyle w:val="ListParagraph"/>
        <w:numPr>
          <w:ilvl w:val="0"/>
          <w:numId w:val="8"/>
        </w:numPr>
        <w:spacing w:line="259" w:lineRule="auto"/>
        <w:contextualSpacing/>
        <w:rPr>
          <w:rFonts w:cs="Arial"/>
          <w:lang w:val="en-GB"/>
        </w:rPr>
      </w:pPr>
      <w:hyperlink r:id="rId38" w:history="1">
        <w:r w:rsidR="00904FED" w:rsidRPr="00D84D56">
          <w:rPr>
            <w:rStyle w:val="Hyperlink"/>
            <w:rFonts w:cs="Arial"/>
            <w:lang w:val="en-GB"/>
          </w:rPr>
          <w:t>ACAS</w:t>
        </w:r>
      </w:hyperlink>
      <w:r w:rsidR="00904FED" w:rsidRPr="00D84D56">
        <w:rPr>
          <w:rFonts w:cs="Arial"/>
          <w:lang w:val="en-GB"/>
        </w:rPr>
        <w:t>: Supporting Trans Employees in the Workplace.</w:t>
      </w:r>
    </w:p>
    <w:p w14:paraId="7742A543" w14:textId="77777777" w:rsidR="00904FED" w:rsidRPr="00D84D56" w:rsidRDefault="00E64CA2" w:rsidP="003D61BE">
      <w:pPr>
        <w:pStyle w:val="ListParagraph"/>
        <w:numPr>
          <w:ilvl w:val="0"/>
          <w:numId w:val="8"/>
        </w:numPr>
        <w:spacing w:line="259" w:lineRule="auto"/>
        <w:contextualSpacing/>
        <w:rPr>
          <w:rFonts w:cs="Arial"/>
          <w:lang w:val="en-GB"/>
        </w:rPr>
      </w:pPr>
      <w:hyperlink r:id="rId39" w:history="1">
        <w:r w:rsidR="00904FED" w:rsidRPr="00D84D56">
          <w:rPr>
            <w:rStyle w:val="Hyperlink"/>
            <w:rFonts w:cs="Arial"/>
            <w:lang w:val="en-GB"/>
          </w:rPr>
          <w:t>All About Transgender</w:t>
        </w:r>
      </w:hyperlink>
      <w:r w:rsidR="00904FED" w:rsidRPr="00D84D56">
        <w:rPr>
          <w:rFonts w:cs="Arial"/>
          <w:lang w:val="en-GB"/>
        </w:rPr>
        <w:t>: Positively changing how the media understands and portrays Transgender people.</w:t>
      </w:r>
    </w:p>
    <w:p w14:paraId="52CAFFBD" w14:textId="0BAD6E97" w:rsidR="00904FED" w:rsidRPr="00D84D56" w:rsidRDefault="00E64CA2" w:rsidP="003D61BE">
      <w:pPr>
        <w:numPr>
          <w:ilvl w:val="0"/>
          <w:numId w:val="8"/>
        </w:numPr>
        <w:shd w:val="clear" w:color="auto" w:fill="FFFFFF"/>
        <w:rPr>
          <w:rFonts w:cs="Arial"/>
          <w:lang w:val="en-GB"/>
        </w:rPr>
      </w:pPr>
      <w:hyperlink r:id="rId40" w:history="1">
        <w:r w:rsidR="00F60A42" w:rsidRPr="00F60A42">
          <w:rPr>
            <w:rStyle w:val="Hyperlink"/>
            <w:rFonts w:cs="Arial"/>
            <w:lang w:val="en-GB"/>
          </w:rPr>
          <w:t>Beaumont Society</w:t>
        </w:r>
      </w:hyperlink>
      <w:r w:rsidR="00F60A42">
        <w:rPr>
          <w:rFonts w:cs="Arial"/>
          <w:lang w:val="en-GB"/>
        </w:rPr>
        <w:t xml:space="preserve">: </w:t>
      </w:r>
      <w:r w:rsidR="00D84D56" w:rsidRPr="00D84D56">
        <w:rPr>
          <w:rFonts w:cs="Arial"/>
          <w:lang w:val="en-GB"/>
        </w:rPr>
        <w:t>A</w:t>
      </w:r>
      <w:r w:rsidR="00904FED" w:rsidRPr="00D84D56">
        <w:rPr>
          <w:rFonts w:cs="Arial"/>
          <w:lang w:val="en-GB"/>
        </w:rPr>
        <w:t xml:space="preserve"> support network that promotes better understanding of the conditions of transgender, transvestism and gender dysphoria.</w:t>
      </w:r>
    </w:p>
    <w:p w14:paraId="50C1CE00" w14:textId="7F00842C" w:rsidR="00904FED" w:rsidRPr="00D84D56" w:rsidRDefault="00E64CA2" w:rsidP="003D61BE">
      <w:pPr>
        <w:numPr>
          <w:ilvl w:val="0"/>
          <w:numId w:val="8"/>
        </w:numPr>
        <w:shd w:val="clear" w:color="auto" w:fill="FFFFFF"/>
        <w:rPr>
          <w:rFonts w:cs="Arial"/>
          <w:lang w:val="en-GB"/>
        </w:rPr>
      </w:pPr>
      <w:hyperlink r:id="rId41" w:history="1">
        <w:r w:rsidR="00904FED" w:rsidRPr="00D84D56">
          <w:rPr>
            <w:rStyle w:val="Hyperlink"/>
            <w:rFonts w:cs="Arial"/>
            <w:color w:val="005C85"/>
            <w:lang w:val="en-GB"/>
          </w:rPr>
          <w:t>Chrysalis</w:t>
        </w:r>
      </w:hyperlink>
      <w:r w:rsidR="00904FED" w:rsidRPr="00D84D56">
        <w:rPr>
          <w:rFonts w:cs="Arial"/>
          <w:lang w:val="en-GB"/>
        </w:rPr>
        <w:t xml:space="preserve"> : </w:t>
      </w:r>
      <w:r w:rsidR="00D84D56" w:rsidRPr="00D84D56">
        <w:rPr>
          <w:rFonts w:cs="Arial"/>
          <w:lang w:val="en-GB"/>
        </w:rPr>
        <w:t>A</w:t>
      </w:r>
      <w:r w:rsidR="00904FED" w:rsidRPr="00D84D56">
        <w:rPr>
          <w:rFonts w:cs="Arial"/>
          <w:lang w:val="en-GB"/>
        </w:rPr>
        <w:t xml:space="preserve"> Southampton based charity that supports individuals from questioning their gender identity and throughout their transition. They also advise local organisations on supporting individuals to transition in work.</w:t>
      </w:r>
    </w:p>
    <w:p w14:paraId="3608B5C2" w14:textId="77777777" w:rsidR="007E1A5C" w:rsidRPr="00D84D56" w:rsidRDefault="00E64CA2" w:rsidP="003D61BE">
      <w:pPr>
        <w:numPr>
          <w:ilvl w:val="0"/>
          <w:numId w:val="8"/>
        </w:numPr>
        <w:shd w:val="clear" w:color="auto" w:fill="FFFFFF"/>
        <w:rPr>
          <w:rFonts w:cs="Arial"/>
          <w:lang w:val="en-GB"/>
        </w:rPr>
      </w:pPr>
      <w:hyperlink r:id="rId42" w:history="1">
        <w:r w:rsidR="007E1A5C" w:rsidRPr="00D84D56">
          <w:rPr>
            <w:rStyle w:val="Hyperlink"/>
            <w:rFonts w:cs="Arial"/>
            <w:lang w:val="en-GB"/>
          </w:rPr>
          <w:t>Consortium</w:t>
        </w:r>
      </w:hyperlink>
      <w:r w:rsidR="00111F03" w:rsidRPr="00D84D56">
        <w:rPr>
          <w:rFonts w:cs="Arial"/>
          <w:lang w:val="en-GB"/>
        </w:rPr>
        <w:t xml:space="preserve">: </w:t>
      </w:r>
      <w:r w:rsidR="00111F03" w:rsidRPr="00D84D56">
        <w:rPr>
          <w:rFonts w:cs="Arial"/>
          <w:szCs w:val="22"/>
          <w:lang w:val="en-GB"/>
        </w:rPr>
        <w:t>The Consortium of Lesbian, Gay, Bisexual and Transgendered Voluntary and Community Organisations.</w:t>
      </w:r>
    </w:p>
    <w:p w14:paraId="0731B290" w14:textId="6CFA3210" w:rsidR="00111F03" w:rsidRPr="00D84D56" w:rsidRDefault="00E64CA2" w:rsidP="003D61BE">
      <w:pPr>
        <w:numPr>
          <w:ilvl w:val="0"/>
          <w:numId w:val="8"/>
        </w:numPr>
        <w:shd w:val="clear" w:color="auto" w:fill="FFFFFF"/>
        <w:rPr>
          <w:rFonts w:cs="Arial"/>
          <w:lang w:val="en-GB"/>
        </w:rPr>
      </w:pPr>
      <w:hyperlink r:id="rId43" w:history="1">
        <w:r w:rsidR="00904FED" w:rsidRPr="00D84D56">
          <w:rPr>
            <w:rStyle w:val="Hyperlink"/>
            <w:rFonts w:cs="Arial"/>
            <w:color w:val="005C85"/>
            <w:lang w:val="en-GB"/>
          </w:rPr>
          <w:t>Depend</w:t>
        </w:r>
      </w:hyperlink>
      <w:r w:rsidR="00904FED" w:rsidRPr="00D84D56">
        <w:rPr>
          <w:rFonts w:cs="Arial"/>
          <w:lang w:val="en-GB"/>
        </w:rPr>
        <w:t xml:space="preserve">: </w:t>
      </w:r>
      <w:r w:rsidR="00D84D56" w:rsidRPr="00D84D56">
        <w:rPr>
          <w:rFonts w:cs="Arial"/>
          <w:lang w:val="en-GB"/>
        </w:rPr>
        <w:t>A</w:t>
      </w:r>
      <w:r w:rsidR="00904FED" w:rsidRPr="00D84D56">
        <w:rPr>
          <w:rFonts w:cs="Arial"/>
          <w:lang w:val="en-GB"/>
        </w:rPr>
        <w:t>n organisation that offers free, confidential and non-judgmental advice, information and support to all family members, partners, spouses and friends of trans people.</w:t>
      </w:r>
    </w:p>
    <w:p w14:paraId="189C050C" w14:textId="678C7C76" w:rsidR="00111F03" w:rsidRPr="00D84D56" w:rsidRDefault="00E64CA2" w:rsidP="003D61BE">
      <w:pPr>
        <w:numPr>
          <w:ilvl w:val="0"/>
          <w:numId w:val="8"/>
        </w:numPr>
        <w:shd w:val="clear" w:color="auto" w:fill="FFFFFF"/>
        <w:rPr>
          <w:rFonts w:cs="Arial"/>
          <w:lang w:val="en-GB"/>
        </w:rPr>
      </w:pPr>
      <w:hyperlink r:id="rId44" w:history="1">
        <w:r w:rsidR="00111F03" w:rsidRPr="00D84D56">
          <w:rPr>
            <w:rStyle w:val="Hyperlink"/>
            <w:rFonts w:cs="Arial"/>
            <w:lang w:val="en-GB"/>
          </w:rPr>
          <w:t>ELOP</w:t>
        </w:r>
      </w:hyperlink>
      <w:r w:rsidR="00111F03" w:rsidRPr="00D84D56">
        <w:rPr>
          <w:rFonts w:cs="Arial"/>
          <w:lang w:val="en-GB"/>
        </w:rPr>
        <w:t xml:space="preserve">: </w:t>
      </w:r>
      <w:r w:rsidR="00D84D56" w:rsidRPr="00D84D56">
        <w:rPr>
          <w:rFonts w:cs="Arial"/>
          <w:szCs w:val="22"/>
          <w:lang w:val="en-GB"/>
        </w:rPr>
        <w:t>Lesbian and gay mental health charity based in East London aiming to promote the mental health, wellbeing, empowerment and equality of LGBT communities.</w:t>
      </w:r>
    </w:p>
    <w:p w14:paraId="347A62D2" w14:textId="1051E2D3" w:rsidR="00904FED" w:rsidRPr="00D84D56" w:rsidRDefault="00E64CA2" w:rsidP="003D61BE">
      <w:pPr>
        <w:numPr>
          <w:ilvl w:val="0"/>
          <w:numId w:val="8"/>
        </w:numPr>
        <w:shd w:val="clear" w:color="auto" w:fill="FFFFFF"/>
        <w:rPr>
          <w:rFonts w:cs="Arial"/>
          <w:lang w:val="en-GB"/>
        </w:rPr>
      </w:pPr>
      <w:hyperlink r:id="rId45" w:history="1">
        <w:r w:rsidR="00F60A42" w:rsidRPr="00F60A42">
          <w:rPr>
            <w:rStyle w:val="Hyperlink"/>
            <w:rFonts w:cs="Arial"/>
            <w:lang w:val="en-GB"/>
          </w:rPr>
          <w:t>Equality and Human Rights Commission</w:t>
        </w:r>
      </w:hyperlink>
      <w:r w:rsidR="00F60A42">
        <w:rPr>
          <w:rFonts w:cs="Arial"/>
          <w:lang w:val="en-GB"/>
        </w:rPr>
        <w:t xml:space="preserve">: </w:t>
      </w:r>
      <w:r w:rsidR="00D84D56" w:rsidRPr="00D84D56">
        <w:rPr>
          <w:rFonts w:cs="Arial"/>
          <w:lang w:val="en-GB"/>
        </w:rPr>
        <w:t>A</w:t>
      </w:r>
      <w:r w:rsidR="00904FED" w:rsidRPr="00D84D56">
        <w:rPr>
          <w:rFonts w:cs="Arial"/>
          <w:lang w:val="en-GB"/>
        </w:rPr>
        <w:t xml:space="preserve"> statutory body with responsibility for protecting, enforcing and promoting equality across nine protected characteristics – age, disability, gender, gender reassignment, marriage and civil partnership, pregnancy and maternity, race, religion and belief, and sexual orientation.</w:t>
      </w:r>
    </w:p>
    <w:p w14:paraId="562DD460" w14:textId="2F5921E7" w:rsidR="00904FED" w:rsidRPr="00D84D56" w:rsidRDefault="00E64CA2" w:rsidP="003D61BE">
      <w:pPr>
        <w:numPr>
          <w:ilvl w:val="0"/>
          <w:numId w:val="8"/>
        </w:numPr>
        <w:shd w:val="clear" w:color="auto" w:fill="FFFFFF"/>
        <w:rPr>
          <w:rFonts w:cs="Arial"/>
          <w:lang w:val="en-GB"/>
        </w:rPr>
      </w:pPr>
      <w:hyperlink r:id="rId46" w:history="1">
        <w:r w:rsidR="00904FED" w:rsidRPr="00D84D56">
          <w:rPr>
            <w:rStyle w:val="Hyperlink"/>
            <w:rFonts w:cs="Arial"/>
            <w:color w:val="005C85"/>
            <w:lang w:val="en-GB"/>
          </w:rPr>
          <w:t>Equality Challenge Unit</w:t>
        </w:r>
      </w:hyperlink>
      <w:r w:rsidR="00904FED" w:rsidRPr="00D84D56">
        <w:rPr>
          <w:rFonts w:cs="Arial"/>
          <w:lang w:val="en-GB"/>
        </w:rPr>
        <w:t xml:space="preserve">: </w:t>
      </w:r>
      <w:r w:rsidR="00D84D56" w:rsidRPr="00D84D56">
        <w:rPr>
          <w:rFonts w:cs="Arial"/>
          <w:lang w:val="en-GB"/>
        </w:rPr>
        <w:t>S</w:t>
      </w:r>
      <w:r w:rsidR="00904FED" w:rsidRPr="00D84D56">
        <w:rPr>
          <w:rFonts w:cs="Arial"/>
          <w:lang w:val="en-GB"/>
        </w:rPr>
        <w:t xml:space="preserve">upports the </w:t>
      </w:r>
      <w:r w:rsidR="00F60A42">
        <w:rPr>
          <w:rFonts w:cs="Arial"/>
          <w:lang w:val="en-GB"/>
        </w:rPr>
        <w:t>H</w:t>
      </w:r>
      <w:r w:rsidR="00904FED" w:rsidRPr="00D84D56">
        <w:rPr>
          <w:rFonts w:cs="Arial"/>
          <w:lang w:val="en-GB"/>
        </w:rPr>
        <w:t xml:space="preserve">igher </w:t>
      </w:r>
      <w:r w:rsidR="00F60A42">
        <w:rPr>
          <w:rFonts w:cs="Arial"/>
          <w:lang w:val="en-GB"/>
        </w:rPr>
        <w:t>E</w:t>
      </w:r>
      <w:r w:rsidR="00904FED" w:rsidRPr="00D84D56">
        <w:rPr>
          <w:rFonts w:cs="Arial"/>
          <w:lang w:val="en-GB"/>
        </w:rPr>
        <w:t>ducation sector to realise the potential of all staff</w:t>
      </w:r>
      <w:r w:rsidR="00C80EF2" w:rsidRPr="00D84D56">
        <w:rPr>
          <w:rFonts w:cs="Arial"/>
          <w:lang w:val="en-GB"/>
        </w:rPr>
        <w:t xml:space="preserve"> </w:t>
      </w:r>
      <w:r w:rsidR="00904FED" w:rsidRPr="00D84D56">
        <w:rPr>
          <w:rFonts w:cs="Arial"/>
          <w:lang w:val="en-GB"/>
        </w:rPr>
        <w:t>whatever their race, gender, disability, sexual orientation, religion and belief, or age, to the benefit of those individuals, higher education institutions and society.</w:t>
      </w:r>
    </w:p>
    <w:p w14:paraId="373948A8" w14:textId="0A751044" w:rsidR="00904FED" w:rsidRPr="00D84D56" w:rsidRDefault="00E64CA2" w:rsidP="003D61BE">
      <w:pPr>
        <w:pStyle w:val="ListParagraph"/>
        <w:numPr>
          <w:ilvl w:val="0"/>
          <w:numId w:val="8"/>
        </w:numPr>
        <w:spacing w:line="259" w:lineRule="auto"/>
        <w:contextualSpacing/>
        <w:rPr>
          <w:rFonts w:cs="Arial"/>
          <w:lang w:val="en-GB"/>
        </w:rPr>
      </w:pPr>
      <w:hyperlink r:id="rId47" w:history="1">
        <w:r w:rsidR="00F60A42" w:rsidRPr="00F60A42">
          <w:rPr>
            <w:rStyle w:val="Hyperlink"/>
            <w:rFonts w:cs="Arial"/>
            <w:lang w:val="en-GB"/>
          </w:rPr>
          <w:t>Foreign Office</w:t>
        </w:r>
      </w:hyperlink>
      <w:r w:rsidR="00F60A42">
        <w:rPr>
          <w:rFonts w:cs="Arial"/>
          <w:lang w:val="en-GB"/>
        </w:rPr>
        <w:t>:</w:t>
      </w:r>
      <w:r w:rsidR="00904FED" w:rsidRPr="00D84D56">
        <w:rPr>
          <w:rFonts w:cs="Arial"/>
          <w:lang w:val="en-GB"/>
        </w:rPr>
        <w:t xml:space="preserve"> </w:t>
      </w:r>
      <w:r w:rsidR="00F60A42" w:rsidRPr="00F60A42">
        <w:rPr>
          <w:rFonts w:cs="Arial"/>
          <w:lang w:val="en-GB"/>
        </w:rPr>
        <w:t>Lesbian, Gay, Bisexual and Transgender foreign travel advice</w:t>
      </w:r>
      <w:r w:rsidR="00F60A42">
        <w:rPr>
          <w:rFonts w:cs="Arial"/>
          <w:lang w:val="en-GB"/>
        </w:rPr>
        <w:t>.</w:t>
      </w:r>
    </w:p>
    <w:p w14:paraId="2BA53072" w14:textId="37F110DD" w:rsidR="00904FED" w:rsidRPr="00D84D56" w:rsidRDefault="00E64CA2" w:rsidP="003D61BE">
      <w:pPr>
        <w:numPr>
          <w:ilvl w:val="0"/>
          <w:numId w:val="8"/>
        </w:numPr>
        <w:shd w:val="clear" w:color="auto" w:fill="FFFFFF"/>
        <w:rPr>
          <w:rFonts w:cs="Arial"/>
          <w:lang w:val="en-GB"/>
        </w:rPr>
      </w:pPr>
      <w:hyperlink r:id="rId48" w:history="1">
        <w:r w:rsidR="00904FED" w:rsidRPr="00D84D56">
          <w:rPr>
            <w:rStyle w:val="Hyperlink"/>
            <w:rFonts w:cs="Arial"/>
            <w:color w:val="005C85"/>
            <w:lang w:val="en-GB"/>
          </w:rPr>
          <w:t>Forum</w:t>
        </w:r>
      </w:hyperlink>
      <w:r w:rsidR="00904FED" w:rsidRPr="00D84D56">
        <w:rPr>
          <w:rFonts w:cs="Arial"/>
          <w:lang w:val="en-GB"/>
        </w:rPr>
        <w:t xml:space="preserve">: </w:t>
      </w:r>
      <w:r w:rsidR="00D84D56" w:rsidRPr="00D84D56">
        <w:rPr>
          <w:rFonts w:cs="Arial"/>
          <w:lang w:val="en-GB"/>
        </w:rPr>
        <w:t>F</w:t>
      </w:r>
      <w:r w:rsidR="00904FED" w:rsidRPr="00D84D56">
        <w:rPr>
          <w:rFonts w:cs="Arial"/>
          <w:lang w:val="en-GB"/>
        </w:rPr>
        <w:t>or sexual orientation and gender identity equality in post-school education</w:t>
      </w:r>
      <w:r w:rsidR="00D84D56" w:rsidRPr="00D84D56">
        <w:rPr>
          <w:rFonts w:cs="Arial"/>
          <w:lang w:val="en-GB"/>
        </w:rPr>
        <w:t>. E</w:t>
      </w:r>
      <w:r w:rsidR="00904FED" w:rsidRPr="00D84D56">
        <w:rPr>
          <w:rFonts w:cs="Arial"/>
          <w:lang w:val="en-GB"/>
        </w:rPr>
        <w:t>stablished in April 2007 to promote equality and good practice in employment and the provision of post-school education, with a specific focus on sexual orientation and gender identity, or transgender, equality issues.</w:t>
      </w:r>
    </w:p>
    <w:p w14:paraId="7B404FF7" w14:textId="77777777" w:rsidR="00904FED" w:rsidRPr="00D84D56" w:rsidRDefault="00E64CA2" w:rsidP="003D61BE">
      <w:pPr>
        <w:pStyle w:val="ListParagraph"/>
        <w:numPr>
          <w:ilvl w:val="0"/>
          <w:numId w:val="8"/>
        </w:numPr>
        <w:spacing w:line="259" w:lineRule="auto"/>
        <w:contextualSpacing/>
        <w:rPr>
          <w:rFonts w:cs="Arial"/>
          <w:lang w:val="en-GB"/>
        </w:rPr>
      </w:pPr>
      <w:hyperlink r:id="rId49" w:history="1">
        <w:r w:rsidR="00904FED" w:rsidRPr="00D84D56">
          <w:rPr>
            <w:rStyle w:val="Hyperlink"/>
            <w:rFonts w:cs="Arial"/>
            <w:lang w:val="en-GB"/>
          </w:rPr>
          <w:t>Galop</w:t>
        </w:r>
      </w:hyperlink>
      <w:r w:rsidR="00904FED" w:rsidRPr="00D84D56">
        <w:rPr>
          <w:rFonts w:cs="Arial"/>
          <w:lang w:val="en-GB"/>
        </w:rPr>
        <w:t>: LGBT+ anti-violence charity and national helpline for LGB and Transgender people experiencing domestic violence and family, friends and agencies supporting them.</w:t>
      </w:r>
    </w:p>
    <w:p w14:paraId="6D48ACAA" w14:textId="77777777" w:rsidR="00904FED" w:rsidRPr="00D84D56" w:rsidRDefault="00E64CA2" w:rsidP="003D61BE">
      <w:pPr>
        <w:pStyle w:val="ListParagraph"/>
        <w:numPr>
          <w:ilvl w:val="0"/>
          <w:numId w:val="8"/>
        </w:numPr>
        <w:spacing w:line="259" w:lineRule="auto"/>
        <w:contextualSpacing/>
        <w:rPr>
          <w:rFonts w:cs="Arial"/>
          <w:lang w:val="en-GB"/>
        </w:rPr>
      </w:pPr>
      <w:hyperlink r:id="rId50" w:history="1">
        <w:r w:rsidR="00904FED" w:rsidRPr="00D84D56">
          <w:rPr>
            <w:rStyle w:val="Hyperlink"/>
            <w:rFonts w:cs="Arial"/>
            <w:lang w:val="en-GB"/>
          </w:rPr>
          <w:t>Gender Network</w:t>
        </w:r>
      </w:hyperlink>
      <w:r w:rsidR="00904FED" w:rsidRPr="00D84D56">
        <w:rPr>
          <w:rFonts w:cs="Arial"/>
          <w:lang w:val="en-GB"/>
        </w:rPr>
        <w:t>: Information and support on Transgender and gender issues.</w:t>
      </w:r>
    </w:p>
    <w:p w14:paraId="1814F25E" w14:textId="244552CE" w:rsidR="00904FED" w:rsidRPr="00D84D56" w:rsidRDefault="00E64CA2" w:rsidP="003D61BE">
      <w:pPr>
        <w:numPr>
          <w:ilvl w:val="0"/>
          <w:numId w:val="8"/>
        </w:numPr>
        <w:shd w:val="clear" w:color="auto" w:fill="FFFFFF"/>
        <w:rPr>
          <w:rFonts w:cs="Arial"/>
          <w:lang w:val="en-GB"/>
        </w:rPr>
      </w:pPr>
      <w:hyperlink r:id="rId51" w:history="1">
        <w:r w:rsidR="00904FED" w:rsidRPr="00D84D56">
          <w:rPr>
            <w:rStyle w:val="Hyperlink"/>
            <w:rFonts w:cs="Arial"/>
            <w:color w:val="005C85"/>
            <w:lang w:val="en-GB"/>
          </w:rPr>
          <w:t>Gender Trust</w:t>
        </w:r>
      </w:hyperlink>
      <w:r w:rsidR="00904FED" w:rsidRPr="00D84D56">
        <w:rPr>
          <w:rFonts w:cs="Arial"/>
          <w:lang w:val="en-GB"/>
        </w:rPr>
        <w:t xml:space="preserve">: </w:t>
      </w:r>
      <w:r w:rsidR="00D84D56" w:rsidRPr="00D84D56">
        <w:rPr>
          <w:rFonts w:cs="Arial"/>
          <w:lang w:val="en-GB"/>
        </w:rPr>
        <w:t>R</w:t>
      </w:r>
      <w:r w:rsidR="00904FED" w:rsidRPr="00D84D56">
        <w:rPr>
          <w:rFonts w:cs="Arial"/>
          <w:lang w:val="en-GB"/>
        </w:rPr>
        <w:t>ecognised as an authoritative centre for professional people who encounter gender identity-related issues in the course of their work. In particular, this group includes employers, human resources officers, health workers and information services. National helpline: 0845 231 0505. </w:t>
      </w:r>
    </w:p>
    <w:p w14:paraId="76A2B652" w14:textId="6D36B665" w:rsidR="00904FED" w:rsidRPr="00D84D56" w:rsidRDefault="00E64CA2" w:rsidP="003D61BE">
      <w:pPr>
        <w:pStyle w:val="ListParagraph"/>
        <w:numPr>
          <w:ilvl w:val="0"/>
          <w:numId w:val="8"/>
        </w:numPr>
        <w:spacing w:line="259" w:lineRule="auto"/>
        <w:contextualSpacing/>
        <w:rPr>
          <w:rFonts w:cs="Arial"/>
          <w:lang w:val="en-GB"/>
        </w:rPr>
      </w:pPr>
      <w:hyperlink r:id="rId52" w:history="1">
        <w:r w:rsidR="00904FED" w:rsidRPr="00D84D56">
          <w:rPr>
            <w:rStyle w:val="Hyperlink"/>
            <w:rFonts w:cs="Arial"/>
            <w:lang w:val="en-GB"/>
          </w:rPr>
          <w:t>Gendered Intelligence</w:t>
        </w:r>
      </w:hyperlink>
      <w:r w:rsidR="00904FED" w:rsidRPr="00D84D56">
        <w:rPr>
          <w:rFonts w:cs="Arial"/>
          <w:lang w:val="en-GB"/>
        </w:rPr>
        <w:t xml:space="preserve">: </w:t>
      </w:r>
      <w:r w:rsidR="005B02D8">
        <w:rPr>
          <w:rFonts w:cs="Arial"/>
          <w:lang w:val="en-GB"/>
        </w:rPr>
        <w:t>U</w:t>
      </w:r>
      <w:r w:rsidR="00904FED" w:rsidRPr="00D84D56">
        <w:rPr>
          <w:rFonts w:cs="Arial"/>
          <w:lang w:val="en-GB"/>
        </w:rPr>
        <w:t xml:space="preserve">nderstanding gender diversity and supporting Transgender young people </w:t>
      </w:r>
      <w:r w:rsidR="00F60A42">
        <w:rPr>
          <w:rFonts w:cs="Arial"/>
          <w:lang w:val="en-GB"/>
        </w:rPr>
        <w:t>under the age of 21</w:t>
      </w:r>
      <w:r w:rsidR="00904FED" w:rsidRPr="00D84D56">
        <w:rPr>
          <w:rFonts w:cs="Arial"/>
          <w:lang w:val="en-GB"/>
        </w:rPr>
        <w:t>.</w:t>
      </w:r>
    </w:p>
    <w:p w14:paraId="5B394E24" w14:textId="2474559C" w:rsidR="00904FED" w:rsidRPr="00D84D56" w:rsidRDefault="00E64CA2" w:rsidP="003D61BE">
      <w:pPr>
        <w:numPr>
          <w:ilvl w:val="0"/>
          <w:numId w:val="8"/>
        </w:numPr>
        <w:shd w:val="clear" w:color="auto" w:fill="FFFFFF"/>
        <w:rPr>
          <w:rFonts w:cs="Arial"/>
          <w:lang w:val="en-GB"/>
        </w:rPr>
      </w:pPr>
      <w:hyperlink r:id="rId53" w:history="1">
        <w:r w:rsidR="00904FED" w:rsidRPr="00D84D56">
          <w:rPr>
            <w:rStyle w:val="Hyperlink"/>
            <w:rFonts w:cs="Arial"/>
            <w:color w:val="005C85"/>
            <w:lang w:val="en-GB"/>
          </w:rPr>
          <w:t>GIRES</w:t>
        </w:r>
      </w:hyperlink>
      <w:r w:rsidR="00904FED" w:rsidRPr="00D84D56">
        <w:rPr>
          <w:rFonts w:cs="Arial"/>
          <w:lang w:val="en-GB"/>
        </w:rPr>
        <w:t xml:space="preserve">: </w:t>
      </w:r>
      <w:r w:rsidR="005B02D8">
        <w:rPr>
          <w:rFonts w:cs="Arial"/>
          <w:lang w:val="en-GB"/>
        </w:rPr>
        <w:t>I</w:t>
      </w:r>
      <w:r w:rsidR="00904FED" w:rsidRPr="00D84D56">
        <w:rPr>
          <w:rFonts w:cs="Arial"/>
          <w:lang w:val="en-GB"/>
        </w:rPr>
        <w:t>nitiates, promotes and supports research, particularly to address the needs of people who have a strong and ongoing desire to live and be accepted in the gender in which they identify, although different from that assigned at birth. </w:t>
      </w:r>
    </w:p>
    <w:p w14:paraId="407799B6" w14:textId="0463D859" w:rsidR="00904FED" w:rsidRPr="00D84D56" w:rsidRDefault="00E64CA2" w:rsidP="003D61BE">
      <w:pPr>
        <w:numPr>
          <w:ilvl w:val="0"/>
          <w:numId w:val="8"/>
        </w:numPr>
        <w:shd w:val="clear" w:color="auto" w:fill="FFFFFF"/>
        <w:rPr>
          <w:rFonts w:cs="Arial"/>
          <w:lang w:val="en-GB"/>
        </w:rPr>
      </w:pPr>
      <w:hyperlink r:id="rId54" w:history="1">
        <w:r w:rsidR="00904FED" w:rsidRPr="00D84D56">
          <w:rPr>
            <w:rStyle w:val="Hyperlink"/>
            <w:rFonts w:cs="Arial"/>
            <w:color w:val="005C85"/>
            <w:lang w:val="en-GB"/>
          </w:rPr>
          <w:t>Mermaids UK</w:t>
        </w:r>
      </w:hyperlink>
      <w:r w:rsidR="005B02D8">
        <w:rPr>
          <w:rFonts w:cs="Arial"/>
          <w:lang w:val="en-GB"/>
        </w:rPr>
        <w:t>: Provides</w:t>
      </w:r>
      <w:r w:rsidR="00904FED" w:rsidRPr="00D84D56">
        <w:rPr>
          <w:rFonts w:cs="Arial"/>
          <w:lang w:val="en-GB"/>
        </w:rPr>
        <w:t xml:space="preserve"> support and information for children and teenagers who are trying to cope with gender identity issues, and for their families and carers.</w:t>
      </w:r>
    </w:p>
    <w:p w14:paraId="4750C4C4" w14:textId="3DE39709" w:rsidR="007E1A5C" w:rsidRPr="00D84D56" w:rsidRDefault="00E64CA2" w:rsidP="003D61BE">
      <w:pPr>
        <w:numPr>
          <w:ilvl w:val="0"/>
          <w:numId w:val="8"/>
        </w:numPr>
        <w:shd w:val="clear" w:color="auto" w:fill="FFFFFF"/>
        <w:rPr>
          <w:rFonts w:cs="Arial"/>
          <w:lang w:val="en-GB"/>
        </w:rPr>
      </w:pPr>
      <w:hyperlink r:id="rId55" w:history="1">
        <w:r w:rsidR="007E1A5C" w:rsidRPr="00D84D56">
          <w:rPr>
            <w:rStyle w:val="Hyperlink"/>
            <w:rFonts w:cs="Arial"/>
            <w:szCs w:val="22"/>
            <w:lang w:val="en-GB"/>
          </w:rPr>
          <w:t>The National LGB&amp;T Partnership</w:t>
        </w:r>
      </w:hyperlink>
      <w:r w:rsidR="007E1A5C" w:rsidRPr="00D84D56">
        <w:rPr>
          <w:rFonts w:cs="Arial"/>
          <w:szCs w:val="22"/>
          <w:lang w:val="en-GB"/>
        </w:rPr>
        <w:t xml:space="preserve">: </w:t>
      </w:r>
      <w:r w:rsidR="00D84D56" w:rsidRPr="00D84D56">
        <w:rPr>
          <w:rFonts w:cs="Arial"/>
          <w:szCs w:val="22"/>
          <w:lang w:val="en-GB"/>
        </w:rPr>
        <w:t>A partnership of various LGBT organisations.</w:t>
      </w:r>
    </w:p>
    <w:p w14:paraId="00997164" w14:textId="77777777" w:rsidR="00904FED" w:rsidRPr="00D84D56" w:rsidRDefault="00E64CA2" w:rsidP="003D61BE">
      <w:pPr>
        <w:pStyle w:val="ListParagraph"/>
        <w:numPr>
          <w:ilvl w:val="0"/>
          <w:numId w:val="8"/>
        </w:numPr>
        <w:spacing w:line="259" w:lineRule="auto"/>
        <w:contextualSpacing/>
        <w:rPr>
          <w:rFonts w:cs="Arial"/>
          <w:lang w:val="en-GB"/>
        </w:rPr>
      </w:pPr>
      <w:hyperlink r:id="rId56" w:history="1">
        <w:r w:rsidR="00904FED" w:rsidRPr="00D84D56">
          <w:rPr>
            <w:rStyle w:val="Hyperlink"/>
            <w:rFonts w:cs="Arial"/>
            <w:lang w:val="en-GB"/>
          </w:rPr>
          <w:t>NHS</w:t>
        </w:r>
      </w:hyperlink>
      <w:r w:rsidR="00904FED" w:rsidRPr="00D84D56">
        <w:rPr>
          <w:rFonts w:cs="Arial"/>
          <w:lang w:val="en-GB"/>
        </w:rPr>
        <w:t>: Transgender Health information.</w:t>
      </w:r>
    </w:p>
    <w:p w14:paraId="199FC92B" w14:textId="06F01718" w:rsidR="00904FED" w:rsidRPr="00D84D56" w:rsidRDefault="00E64CA2" w:rsidP="003D61BE">
      <w:pPr>
        <w:numPr>
          <w:ilvl w:val="0"/>
          <w:numId w:val="8"/>
        </w:numPr>
        <w:shd w:val="clear" w:color="auto" w:fill="FFFFFF"/>
        <w:rPr>
          <w:rFonts w:cs="Arial"/>
          <w:lang w:val="en-GB"/>
        </w:rPr>
      </w:pPr>
      <w:hyperlink r:id="rId57" w:history="1">
        <w:r w:rsidR="00904FED" w:rsidRPr="00D84D56">
          <w:rPr>
            <w:rStyle w:val="Hyperlink"/>
            <w:rFonts w:cs="Arial"/>
            <w:color w:val="005C85"/>
            <w:lang w:val="en-GB"/>
          </w:rPr>
          <w:t>Press for Change</w:t>
        </w:r>
      </w:hyperlink>
      <w:r w:rsidR="005B02D8">
        <w:rPr>
          <w:rFonts w:cs="Arial"/>
          <w:lang w:val="en-GB"/>
        </w:rPr>
        <w:t>:</w:t>
      </w:r>
      <w:r w:rsidR="00904FED" w:rsidRPr="00D84D56">
        <w:rPr>
          <w:rFonts w:cs="Arial"/>
          <w:lang w:val="en-GB"/>
        </w:rPr>
        <w:t xml:space="preserve"> </w:t>
      </w:r>
      <w:r w:rsidR="005B02D8">
        <w:rPr>
          <w:rFonts w:cs="Arial"/>
          <w:lang w:val="en-GB"/>
        </w:rPr>
        <w:t>A</w:t>
      </w:r>
      <w:r w:rsidR="00904FED" w:rsidRPr="00D84D56">
        <w:rPr>
          <w:rFonts w:cs="Arial"/>
          <w:lang w:val="en-GB"/>
        </w:rPr>
        <w:t xml:space="preserve"> political lobbying and educational organisation that campaigns to achieve equal civil rights and liberties for all transgender people in the UK through legislation and social change. </w:t>
      </w:r>
    </w:p>
    <w:p w14:paraId="21F5472C" w14:textId="77777777" w:rsidR="00904FED" w:rsidRPr="00D84D56" w:rsidRDefault="00E64CA2" w:rsidP="003D61BE">
      <w:pPr>
        <w:pStyle w:val="ListParagraph"/>
        <w:numPr>
          <w:ilvl w:val="0"/>
          <w:numId w:val="8"/>
        </w:numPr>
        <w:spacing w:line="259" w:lineRule="auto"/>
        <w:contextualSpacing/>
        <w:rPr>
          <w:rFonts w:cs="Arial"/>
          <w:lang w:val="en-GB"/>
        </w:rPr>
      </w:pPr>
      <w:hyperlink r:id="rId58" w:history="1">
        <w:r w:rsidR="00904FED" w:rsidRPr="00D84D56">
          <w:rPr>
            <w:rStyle w:val="Hyperlink"/>
            <w:rFonts w:cs="Arial"/>
            <w:lang w:val="en-GB"/>
          </w:rPr>
          <w:t>Sparkle</w:t>
        </w:r>
      </w:hyperlink>
      <w:r w:rsidR="00904FED" w:rsidRPr="00D84D56">
        <w:rPr>
          <w:rFonts w:cs="Arial"/>
          <w:lang w:val="en-GB"/>
        </w:rPr>
        <w:t>: National Transgender charity; annual Transgender event held in July in Manchester.</w:t>
      </w:r>
    </w:p>
    <w:p w14:paraId="59B82C13" w14:textId="6A84D803" w:rsidR="007E1A5C" w:rsidRPr="00D84D56" w:rsidRDefault="00E64CA2" w:rsidP="003D61BE">
      <w:pPr>
        <w:pStyle w:val="ListParagraph"/>
        <w:numPr>
          <w:ilvl w:val="0"/>
          <w:numId w:val="8"/>
        </w:numPr>
        <w:spacing w:line="259" w:lineRule="auto"/>
        <w:contextualSpacing/>
        <w:rPr>
          <w:rFonts w:cs="Arial"/>
          <w:lang w:val="en-GB"/>
        </w:rPr>
      </w:pPr>
      <w:hyperlink r:id="rId59" w:history="1">
        <w:r w:rsidR="007E1A5C" w:rsidRPr="00D84D56">
          <w:rPr>
            <w:rStyle w:val="Hyperlink"/>
            <w:rFonts w:cs="Arial"/>
            <w:lang w:val="en-GB"/>
          </w:rPr>
          <w:t>Stonewall</w:t>
        </w:r>
      </w:hyperlink>
      <w:r w:rsidR="007E1A5C" w:rsidRPr="00D84D56">
        <w:rPr>
          <w:rFonts w:cs="Arial"/>
          <w:lang w:val="en-GB"/>
        </w:rPr>
        <w:t xml:space="preserve">: </w:t>
      </w:r>
      <w:r w:rsidR="00D84D56" w:rsidRPr="00D84D56">
        <w:rPr>
          <w:rFonts w:cs="Arial"/>
          <w:lang w:val="en-GB"/>
        </w:rPr>
        <w:t>The largest LGBT rights organisation in the UK and Europe, named after the 1969 Stonewall riots in the New York City’s Greenwich Village.</w:t>
      </w:r>
    </w:p>
    <w:p w14:paraId="0657A305" w14:textId="37496066" w:rsidR="00904FED" w:rsidRPr="00D84D56" w:rsidRDefault="00E64CA2" w:rsidP="003D61BE">
      <w:pPr>
        <w:pStyle w:val="ListParagraph"/>
        <w:numPr>
          <w:ilvl w:val="0"/>
          <w:numId w:val="8"/>
        </w:numPr>
        <w:spacing w:line="259" w:lineRule="auto"/>
        <w:contextualSpacing/>
        <w:rPr>
          <w:rFonts w:cs="Arial"/>
          <w:lang w:val="en-GB"/>
        </w:rPr>
      </w:pPr>
      <w:hyperlink r:id="rId60" w:history="1">
        <w:r w:rsidR="00904FED" w:rsidRPr="00D84D56">
          <w:rPr>
            <w:rStyle w:val="Hyperlink"/>
            <w:rFonts w:cs="Arial"/>
            <w:lang w:val="en-GB"/>
          </w:rPr>
          <w:t>TransBareAll</w:t>
        </w:r>
      </w:hyperlink>
      <w:r w:rsidR="00904FED" w:rsidRPr="00D84D56">
        <w:rPr>
          <w:rFonts w:cs="Arial"/>
          <w:lang w:val="en-GB"/>
        </w:rPr>
        <w:t xml:space="preserve">: </w:t>
      </w:r>
      <w:r w:rsidR="005B02D8">
        <w:rPr>
          <w:rFonts w:cs="Arial"/>
          <w:lang w:val="en-GB"/>
        </w:rPr>
        <w:t>H</w:t>
      </w:r>
      <w:r w:rsidR="00904FED" w:rsidRPr="00D84D56">
        <w:rPr>
          <w:rFonts w:cs="Arial"/>
          <w:lang w:val="en-GB"/>
        </w:rPr>
        <w:t>elping people accept their bodies and live more fulfilling lives.</w:t>
      </w:r>
    </w:p>
    <w:p w14:paraId="6B15AE56" w14:textId="789BB57C" w:rsidR="00904FED" w:rsidRPr="00D84D56" w:rsidRDefault="00E64CA2" w:rsidP="003D61BE">
      <w:pPr>
        <w:numPr>
          <w:ilvl w:val="0"/>
          <w:numId w:val="8"/>
        </w:numPr>
        <w:shd w:val="clear" w:color="auto" w:fill="FFFFFF"/>
        <w:rPr>
          <w:rFonts w:cs="Arial"/>
          <w:lang w:val="en-GB"/>
        </w:rPr>
      </w:pPr>
      <w:hyperlink r:id="rId61" w:history="1">
        <w:r w:rsidR="00904FED" w:rsidRPr="00D84D56">
          <w:rPr>
            <w:rStyle w:val="Hyperlink"/>
            <w:rFonts w:cs="Arial"/>
            <w:color w:val="005C85"/>
            <w:lang w:val="en-GB"/>
          </w:rPr>
          <w:t>Transgender Zone</w:t>
        </w:r>
      </w:hyperlink>
      <w:r w:rsidR="005B02D8">
        <w:rPr>
          <w:rFonts w:cs="Arial"/>
          <w:lang w:val="en-GB"/>
        </w:rPr>
        <w:t>:</w:t>
      </w:r>
      <w:r w:rsidR="00904FED" w:rsidRPr="00D84D56">
        <w:rPr>
          <w:rFonts w:cs="Arial"/>
          <w:lang w:val="en-GB"/>
        </w:rPr>
        <w:t xml:space="preserve"> </w:t>
      </w:r>
      <w:r w:rsidR="005B02D8">
        <w:rPr>
          <w:rFonts w:cs="Arial"/>
          <w:lang w:val="en-GB"/>
        </w:rPr>
        <w:t>A</w:t>
      </w:r>
      <w:r w:rsidR="00904FED" w:rsidRPr="00D84D56">
        <w:rPr>
          <w:rFonts w:cs="Arial"/>
          <w:lang w:val="en-GB"/>
        </w:rPr>
        <w:t>n online resource that covers all aspects of transgender issues, including a section specifically for female-to-male trans people.</w:t>
      </w:r>
    </w:p>
    <w:p w14:paraId="305FF6DC" w14:textId="77777777" w:rsidR="007E1A5C" w:rsidRPr="00D84D56" w:rsidRDefault="00E64CA2" w:rsidP="003D61BE">
      <w:pPr>
        <w:pStyle w:val="ListParagraph"/>
        <w:numPr>
          <w:ilvl w:val="0"/>
          <w:numId w:val="8"/>
        </w:numPr>
        <w:spacing w:line="259" w:lineRule="auto"/>
        <w:contextualSpacing/>
        <w:rPr>
          <w:rFonts w:cs="Arial"/>
          <w:lang w:val="en-GB"/>
        </w:rPr>
      </w:pPr>
      <w:hyperlink r:id="rId62" w:history="1">
        <w:r w:rsidR="007E1A5C" w:rsidRPr="00D84D56">
          <w:rPr>
            <w:rStyle w:val="Hyperlink"/>
            <w:rFonts w:cs="Arial"/>
            <w:lang w:val="en-GB"/>
          </w:rPr>
          <w:t>UK Government</w:t>
        </w:r>
      </w:hyperlink>
      <w:r w:rsidR="007E1A5C" w:rsidRPr="00D84D56">
        <w:rPr>
          <w:rFonts w:cs="Arial"/>
          <w:lang w:val="en-GB"/>
        </w:rPr>
        <w:t>: Government Equalities Office.</w:t>
      </w:r>
    </w:p>
    <w:p w14:paraId="6C8E1203" w14:textId="77777777" w:rsidR="00904FED" w:rsidRPr="00D84D56" w:rsidRDefault="00E64CA2" w:rsidP="003D61BE">
      <w:pPr>
        <w:pStyle w:val="ListParagraph"/>
        <w:numPr>
          <w:ilvl w:val="0"/>
          <w:numId w:val="8"/>
        </w:numPr>
        <w:spacing w:line="259" w:lineRule="auto"/>
        <w:contextualSpacing/>
        <w:rPr>
          <w:rFonts w:cs="Arial"/>
          <w:lang w:val="en-GB"/>
        </w:rPr>
      </w:pPr>
      <w:hyperlink r:id="rId63" w:history="1">
        <w:r w:rsidR="00904FED" w:rsidRPr="00D84D56">
          <w:rPr>
            <w:rStyle w:val="Hyperlink"/>
            <w:rFonts w:cs="Arial"/>
            <w:lang w:val="en-GB"/>
          </w:rPr>
          <w:t>Unison</w:t>
        </w:r>
      </w:hyperlink>
      <w:r w:rsidR="00904FED" w:rsidRPr="00D84D56">
        <w:rPr>
          <w:rFonts w:cs="Arial"/>
          <w:lang w:val="en-GB"/>
        </w:rPr>
        <w:t>: National Officer for LGBT Equality.</w:t>
      </w:r>
    </w:p>
    <w:sectPr w:rsidR="00904FED" w:rsidRPr="00D84D56" w:rsidSect="00DC19F7">
      <w:pgSz w:w="12240" w:h="15840"/>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93F7" w14:textId="77777777" w:rsidR="007672ED" w:rsidRDefault="007672ED" w:rsidP="00CD201F">
      <w:r>
        <w:separator/>
      </w:r>
    </w:p>
    <w:p w14:paraId="6E0A2579" w14:textId="77777777" w:rsidR="007672ED" w:rsidRDefault="007672ED"/>
  </w:endnote>
  <w:endnote w:type="continuationSeparator" w:id="0">
    <w:p w14:paraId="0F4C84F6" w14:textId="77777777" w:rsidR="007672ED" w:rsidRDefault="007672ED" w:rsidP="00CD201F">
      <w:r>
        <w:continuationSeparator/>
      </w:r>
    </w:p>
    <w:p w14:paraId="05957E2E" w14:textId="77777777" w:rsidR="007672ED" w:rsidRDefault="007672ED"/>
  </w:endnote>
  <w:endnote w:type="continuationNotice" w:id="1">
    <w:p w14:paraId="19FA8234" w14:textId="77777777" w:rsidR="007672ED" w:rsidRDefault="00767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C1AD" w14:textId="77777777" w:rsidR="00173D93" w:rsidRDefault="00173D93" w:rsidP="00CD201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57F3B8" w14:textId="77777777" w:rsidR="00173D93" w:rsidRDefault="00173D93" w:rsidP="00CD201F">
    <w:pPr>
      <w:pStyle w:val="Footer"/>
    </w:pPr>
  </w:p>
  <w:p w14:paraId="402DCD02" w14:textId="77777777" w:rsidR="00173D93" w:rsidRDefault="00173D93" w:rsidP="00CD20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17108"/>
      <w:docPartObj>
        <w:docPartGallery w:val="Page Numbers (Bottom of Page)"/>
        <w:docPartUnique/>
      </w:docPartObj>
    </w:sdtPr>
    <w:sdtEndPr>
      <w:rPr>
        <w:noProof/>
      </w:rPr>
    </w:sdtEndPr>
    <w:sdtContent>
      <w:p w14:paraId="4F4B03E3" w14:textId="4E46D8FE" w:rsidR="00173D93" w:rsidRDefault="00173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BC44A" w14:textId="77777777" w:rsidR="00173D93" w:rsidRDefault="00173D93" w:rsidP="00CD20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FD2D" w14:textId="77777777" w:rsidR="007672ED" w:rsidRDefault="007672ED" w:rsidP="00CD201F">
      <w:r>
        <w:separator/>
      </w:r>
    </w:p>
    <w:p w14:paraId="13828F47" w14:textId="77777777" w:rsidR="007672ED" w:rsidRDefault="007672ED"/>
  </w:footnote>
  <w:footnote w:type="continuationSeparator" w:id="0">
    <w:p w14:paraId="4F322F01" w14:textId="77777777" w:rsidR="007672ED" w:rsidRDefault="007672ED" w:rsidP="00CD201F">
      <w:r>
        <w:continuationSeparator/>
      </w:r>
    </w:p>
    <w:p w14:paraId="534227A8" w14:textId="77777777" w:rsidR="007672ED" w:rsidRDefault="007672ED"/>
  </w:footnote>
  <w:footnote w:type="continuationNotice" w:id="1">
    <w:p w14:paraId="6DC5F0DA" w14:textId="77777777" w:rsidR="007672ED" w:rsidRDefault="00767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1BF4" w14:textId="7C61ECBC" w:rsidR="00173D93" w:rsidRDefault="00173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31A0" w14:textId="53C3D072" w:rsidR="00173D93" w:rsidRDefault="00173D93" w:rsidP="00CD201F">
    <w:pPr>
      <w:pStyle w:val="Header"/>
    </w:pPr>
  </w:p>
  <w:p w14:paraId="2D008CBC" w14:textId="77777777" w:rsidR="00173D93" w:rsidRDefault="00173D93" w:rsidP="00CD201F">
    <w:pPr>
      <w:pStyle w:val="Header"/>
    </w:pPr>
  </w:p>
  <w:p w14:paraId="0923D853" w14:textId="77777777" w:rsidR="00173D93" w:rsidRDefault="00173D93" w:rsidP="00CD2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1982" w14:textId="27261E37" w:rsidR="00173D93" w:rsidRDefault="00173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186"/>
    <w:multiLevelType w:val="hybridMultilevel"/>
    <w:tmpl w:val="DFF8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B7E11"/>
    <w:multiLevelType w:val="hybridMultilevel"/>
    <w:tmpl w:val="2B04B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5249AC"/>
    <w:multiLevelType w:val="hybridMultilevel"/>
    <w:tmpl w:val="3A342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734C50"/>
    <w:multiLevelType w:val="hybridMultilevel"/>
    <w:tmpl w:val="C068C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F727BD"/>
    <w:multiLevelType w:val="multilevel"/>
    <w:tmpl w:val="6A56BDF0"/>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9971EA"/>
    <w:multiLevelType w:val="hybridMultilevel"/>
    <w:tmpl w:val="DFEC0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E9689B"/>
    <w:multiLevelType w:val="hybridMultilevel"/>
    <w:tmpl w:val="B8BED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3A572B"/>
    <w:multiLevelType w:val="hybridMultilevel"/>
    <w:tmpl w:val="888C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D25A9"/>
    <w:multiLevelType w:val="hybridMultilevel"/>
    <w:tmpl w:val="03529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9F3196"/>
    <w:multiLevelType w:val="hybridMultilevel"/>
    <w:tmpl w:val="2B06E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70E34"/>
    <w:multiLevelType w:val="hybridMultilevel"/>
    <w:tmpl w:val="0D80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67840"/>
    <w:multiLevelType w:val="hybridMultilevel"/>
    <w:tmpl w:val="100E3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4225BA"/>
    <w:multiLevelType w:val="hybridMultilevel"/>
    <w:tmpl w:val="01A21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5664DA"/>
    <w:multiLevelType w:val="hybridMultilevel"/>
    <w:tmpl w:val="74A2CFF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DC6B45"/>
    <w:multiLevelType w:val="hybridMultilevel"/>
    <w:tmpl w:val="FF16A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370EC2"/>
    <w:multiLevelType w:val="hybridMultilevel"/>
    <w:tmpl w:val="5B6EE9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3402CF"/>
    <w:multiLevelType w:val="hybridMultilevel"/>
    <w:tmpl w:val="FB0A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9248F"/>
    <w:multiLevelType w:val="hybridMultilevel"/>
    <w:tmpl w:val="12D856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EA48B7"/>
    <w:multiLevelType w:val="hybridMultilevel"/>
    <w:tmpl w:val="8D7E8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C6204D"/>
    <w:multiLevelType w:val="hybridMultilevel"/>
    <w:tmpl w:val="1B1A3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127F21"/>
    <w:multiLevelType w:val="hybridMultilevel"/>
    <w:tmpl w:val="E856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D2AC6"/>
    <w:multiLevelType w:val="hybridMultilevel"/>
    <w:tmpl w:val="6802A1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655F97"/>
    <w:multiLevelType w:val="hybridMultilevel"/>
    <w:tmpl w:val="BE42919A"/>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E948BC"/>
    <w:multiLevelType w:val="hybridMultilevel"/>
    <w:tmpl w:val="77C8B79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5523525"/>
    <w:multiLevelType w:val="hybridMultilevel"/>
    <w:tmpl w:val="0CC0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A713F"/>
    <w:multiLevelType w:val="hybridMultilevel"/>
    <w:tmpl w:val="86DE7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D243B8"/>
    <w:multiLevelType w:val="hybridMultilevel"/>
    <w:tmpl w:val="5CDA8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1E77D7"/>
    <w:multiLevelType w:val="hybridMultilevel"/>
    <w:tmpl w:val="8312B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3F3469"/>
    <w:multiLevelType w:val="hybridMultilevel"/>
    <w:tmpl w:val="98A8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3E0F74"/>
    <w:multiLevelType w:val="hybridMultilevel"/>
    <w:tmpl w:val="9F060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27"/>
  </w:num>
  <w:num w:numId="4">
    <w:abstractNumId w:val="8"/>
  </w:num>
  <w:num w:numId="5">
    <w:abstractNumId w:val="26"/>
  </w:num>
  <w:num w:numId="6">
    <w:abstractNumId w:val="3"/>
  </w:num>
  <w:num w:numId="7">
    <w:abstractNumId w:val="2"/>
  </w:num>
  <w:num w:numId="8">
    <w:abstractNumId w:val="10"/>
  </w:num>
  <w:num w:numId="9">
    <w:abstractNumId w:val="18"/>
  </w:num>
  <w:num w:numId="10">
    <w:abstractNumId w:val="9"/>
  </w:num>
  <w:num w:numId="11">
    <w:abstractNumId w:val="22"/>
  </w:num>
  <w:num w:numId="12">
    <w:abstractNumId w:val="12"/>
  </w:num>
  <w:num w:numId="13">
    <w:abstractNumId w:val="28"/>
  </w:num>
  <w:num w:numId="14">
    <w:abstractNumId w:val="6"/>
  </w:num>
  <w:num w:numId="15">
    <w:abstractNumId w:val="5"/>
  </w:num>
  <w:num w:numId="16">
    <w:abstractNumId w:val="17"/>
  </w:num>
  <w:num w:numId="17">
    <w:abstractNumId w:val="24"/>
  </w:num>
  <w:num w:numId="18">
    <w:abstractNumId w:val="16"/>
  </w:num>
  <w:num w:numId="19">
    <w:abstractNumId w:val="0"/>
  </w:num>
  <w:num w:numId="20">
    <w:abstractNumId w:val="15"/>
  </w:num>
  <w:num w:numId="21">
    <w:abstractNumId w:val="4"/>
  </w:num>
  <w:num w:numId="22">
    <w:abstractNumId w:val="29"/>
  </w:num>
  <w:num w:numId="23">
    <w:abstractNumId w:val="25"/>
  </w:num>
  <w:num w:numId="24">
    <w:abstractNumId w:val="14"/>
  </w:num>
  <w:num w:numId="25">
    <w:abstractNumId w:val="4"/>
  </w:num>
  <w:num w:numId="26">
    <w:abstractNumId w:val="4"/>
  </w:num>
  <w:num w:numId="27">
    <w:abstractNumId w:val="4"/>
  </w:num>
  <w:num w:numId="28">
    <w:abstractNumId w:val="4"/>
  </w:num>
  <w:num w:numId="29">
    <w:abstractNumId w:val="11"/>
  </w:num>
  <w:num w:numId="30">
    <w:abstractNumId w:val="1"/>
  </w:num>
  <w:num w:numId="31">
    <w:abstractNumId w:val="23"/>
  </w:num>
  <w:num w:numId="32">
    <w:abstractNumId w:val="20"/>
  </w:num>
  <w:num w:numId="33">
    <w:abstractNumId w:val="4"/>
  </w:num>
  <w:num w:numId="34">
    <w:abstractNumId w:val="4"/>
  </w:num>
  <w:num w:numId="35">
    <w:abstractNumId w:val="21"/>
  </w:num>
  <w:num w:numId="36">
    <w:abstractNumId w:val="13"/>
  </w:num>
  <w:num w:numId="3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94"/>
    <w:rsid w:val="00001D41"/>
    <w:rsid w:val="000026DA"/>
    <w:rsid w:val="0000638C"/>
    <w:rsid w:val="00010A52"/>
    <w:rsid w:val="00011CA7"/>
    <w:rsid w:val="00011E87"/>
    <w:rsid w:val="00012CD9"/>
    <w:rsid w:val="000150B8"/>
    <w:rsid w:val="00015355"/>
    <w:rsid w:val="000200C3"/>
    <w:rsid w:val="00020626"/>
    <w:rsid w:val="00020D2A"/>
    <w:rsid w:val="0002185B"/>
    <w:rsid w:val="000222B0"/>
    <w:rsid w:val="00022C51"/>
    <w:rsid w:val="00022D05"/>
    <w:rsid w:val="00022F50"/>
    <w:rsid w:val="000240EE"/>
    <w:rsid w:val="000247A3"/>
    <w:rsid w:val="000321BA"/>
    <w:rsid w:val="000348D0"/>
    <w:rsid w:val="00036603"/>
    <w:rsid w:val="00037F32"/>
    <w:rsid w:val="00040F27"/>
    <w:rsid w:val="00040F3F"/>
    <w:rsid w:val="00041A1B"/>
    <w:rsid w:val="00042F5A"/>
    <w:rsid w:val="00043FB0"/>
    <w:rsid w:val="00046B19"/>
    <w:rsid w:val="00046C47"/>
    <w:rsid w:val="00047579"/>
    <w:rsid w:val="000512A2"/>
    <w:rsid w:val="00053365"/>
    <w:rsid w:val="0005371D"/>
    <w:rsid w:val="0005477E"/>
    <w:rsid w:val="00054BCB"/>
    <w:rsid w:val="0006267F"/>
    <w:rsid w:val="0006516E"/>
    <w:rsid w:val="00065239"/>
    <w:rsid w:val="0007507A"/>
    <w:rsid w:val="00077719"/>
    <w:rsid w:val="00082A89"/>
    <w:rsid w:val="00083D81"/>
    <w:rsid w:val="0008424C"/>
    <w:rsid w:val="00085888"/>
    <w:rsid w:val="000864F7"/>
    <w:rsid w:val="00091140"/>
    <w:rsid w:val="00091A9F"/>
    <w:rsid w:val="00093AC2"/>
    <w:rsid w:val="0009524C"/>
    <w:rsid w:val="000A0E7D"/>
    <w:rsid w:val="000A2A4B"/>
    <w:rsid w:val="000A5450"/>
    <w:rsid w:val="000A5D9B"/>
    <w:rsid w:val="000B0DC7"/>
    <w:rsid w:val="000B0FF8"/>
    <w:rsid w:val="000B1205"/>
    <w:rsid w:val="000C0802"/>
    <w:rsid w:val="000C4EEE"/>
    <w:rsid w:val="000C503C"/>
    <w:rsid w:val="000C55FE"/>
    <w:rsid w:val="000C5E84"/>
    <w:rsid w:val="000C6904"/>
    <w:rsid w:val="000C739B"/>
    <w:rsid w:val="000C78BD"/>
    <w:rsid w:val="000C79FA"/>
    <w:rsid w:val="000D1C89"/>
    <w:rsid w:val="000D28D4"/>
    <w:rsid w:val="000D513E"/>
    <w:rsid w:val="000D5689"/>
    <w:rsid w:val="000D6380"/>
    <w:rsid w:val="000D6563"/>
    <w:rsid w:val="000E293E"/>
    <w:rsid w:val="000E4461"/>
    <w:rsid w:val="000E72F5"/>
    <w:rsid w:val="000E7F1B"/>
    <w:rsid w:val="000F2985"/>
    <w:rsid w:val="000F2CE1"/>
    <w:rsid w:val="000F7ED3"/>
    <w:rsid w:val="00101E9F"/>
    <w:rsid w:val="001036AB"/>
    <w:rsid w:val="00105665"/>
    <w:rsid w:val="00106DFC"/>
    <w:rsid w:val="00111F03"/>
    <w:rsid w:val="0011443A"/>
    <w:rsid w:val="00114BAE"/>
    <w:rsid w:val="00115574"/>
    <w:rsid w:val="0011773C"/>
    <w:rsid w:val="00121CE4"/>
    <w:rsid w:val="0012376B"/>
    <w:rsid w:val="00125779"/>
    <w:rsid w:val="00125D25"/>
    <w:rsid w:val="00126FED"/>
    <w:rsid w:val="001277D1"/>
    <w:rsid w:val="001278CD"/>
    <w:rsid w:val="001306D4"/>
    <w:rsid w:val="001346D3"/>
    <w:rsid w:val="00134D43"/>
    <w:rsid w:val="00135923"/>
    <w:rsid w:val="00137842"/>
    <w:rsid w:val="00140176"/>
    <w:rsid w:val="00141C97"/>
    <w:rsid w:val="00145A26"/>
    <w:rsid w:val="001479B6"/>
    <w:rsid w:val="00151E59"/>
    <w:rsid w:val="0015362B"/>
    <w:rsid w:val="00154CFE"/>
    <w:rsid w:val="00155044"/>
    <w:rsid w:val="00163687"/>
    <w:rsid w:val="001639D0"/>
    <w:rsid w:val="00163CAC"/>
    <w:rsid w:val="00163D53"/>
    <w:rsid w:val="001640F0"/>
    <w:rsid w:val="001670CF"/>
    <w:rsid w:val="00167471"/>
    <w:rsid w:val="001674F7"/>
    <w:rsid w:val="00170711"/>
    <w:rsid w:val="001709E0"/>
    <w:rsid w:val="00171057"/>
    <w:rsid w:val="001715E7"/>
    <w:rsid w:val="00172258"/>
    <w:rsid w:val="001728FE"/>
    <w:rsid w:val="00173D93"/>
    <w:rsid w:val="0017510D"/>
    <w:rsid w:val="0017606F"/>
    <w:rsid w:val="00176B44"/>
    <w:rsid w:val="00181218"/>
    <w:rsid w:val="00181B46"/>
    <w:rsid w:val="0018447A"/>
    <w:rsid w:val="00185566"/>
    <w:rsid w:val="0018625C"/>
    <w:rsid w:val="00190238"/>
    <w:rsid w:val="0019046C"/>
    <w:rsid w:val="001927CF"/>
    <w:rsid w:val="00193FAD"/>
    <w:rsid w:val="001974CB"/>
    <w:rsid w:val="001975AD"/>
    <w:rsid w:val="001A0028"/>
    <w:rsid w:val="001A01F0"/>
    <w:rsid w:val="001A091D"/>
    <w:rsid w:val="001A33B7"/>
    <w:rsid w:val="001A6121"/>
    <w:rsid w:val="001A6846"/>
    <w:rsid w:val="001B1800"/>
    <w:rsid w:val="001B23E5"/>
    <w:rsid w:val="001B6F7F"/>
    <w:rsid w:val="001B7E82"/>
    <w:rsid w:val="001C15D9"/>
    <w:rsid w:val="001C4490"/>
    <w:rsid w:val="001C4C61"/>
    <w:rsid w:val="001C4EE0"/>
    <w:rsid w:val="001C6C23"/>
    <w:rsid w:val="001D4224"/>
    <w:rsid w:val="001D486E"/>
    <w:rsid w:val="001D5508"/>
    <w:rsid w:val="001D73E7"/>
    <w:rsid w:val="001E030E"/>
    <w:rsid w:val="001E0C28"/>
    <w:rsid w:val="001E0CFF"/>
    <w:rsid w:val="001E0D51"/>
    <w:rsid w:val="001E142C"/>
    <w:rsid w:val="001E2686"/>
    <w:rsid w:val="001E3EB5"/>
    <w:rsid w:val="001F4EA7"/>
    <w:rsid w:val="001F513F"/>
    <w:rsid w:val="001F7105"/>
    <w:rsid w:val="0020151F"/>
    <w:rsid w:val="002034EF"/>
    <w:rsid w:val="00204265"/>
    <w:rsid w:val="00205BCA"/>
    <w:rsid w:val="0021047F"/>
    <w:rsid w:val="00212209"/>
    <w:rsid w:val="002135D4"/>
    <w:rsid w:val="00215716"/>
    <w:rsid w:val="00217FE4"/>
    <w:rsid w:val="00220040"/>
    <w:rsid w:val="00222178"/>
    <w:rsid w:val="00227994"/>
    <w:rsid w:val="00231DBF"/>
    <w:rsid w:val="0023658C"/>
    <w:rsid w:val="002440CC"/>
    <w:rsid w:val="0024491C"/>
    <w:rsid w:val="00244A45"/>
    <w:rsid w:val="00247B03"/>
    <w:rsid w:val="002534B7"/>
    <w:rsid w:val="00253B48"/>
    <w:rsid w:val="0025668E"/>
    <w:rsid w:val="00256D06"/>
    <w:rsid w:val="00260075"/>
    <w:rsid w:val="00260B1B"/>
    <w:rsid w:val="0026112B"/>
    <w:rsid w:val="0026375F"/>
    <w:rsid w:val="00264EBA"/>
    <w:rsid w:val="00266450"/>
    <w:rsid w:val="002677AF"/>
    <w:rsid w:val="00272705"/>
    <w:rsid w:val="00272867"/>
    <w:rsid w:val="00272938"/>
    <w:rsid w:val="002765CB"/>
    <w:rsid w:val="0027740F"/>
    <w:rsid w:val="002830F5"/>
    <w:rsid w:val="002842FF"/>
    <w:rsid w:val="0028576F"/>
    <w:rsid w:val="00286CFF"/>
    <w:rsid w:val="00290771"/>
    <w:rsid w:val="00290AE6"/>
    <w:rsid w:val="00290F11"/>
    <w:rsid w:val="00291CB4"/>
    <w:rsid w:val="00293F86"/>
    <w:rsid w:val="00294250"/>
    <w:rsid w:val="00295247"/>
    <w:rsid w:val="00295510"/>
    <w:rsid w:val="002A0BF6"/>
    <w:rsid w:val="002A2A36"/>
    <w:rsid w:val="002A2DEB"/>
    <w:rsid w:val="002A61CC"/>
    <w:rsid w:val="002B1338"/>
    <w:rsid w:val="002B18E1"/>
    <w:rsid w:val="002B2310"/>
    <w:rsid w:val="002B3C0A"/>
    <w:rsid w:val="002B4C86"/>
    <w:rsid w:val="002B50DB"/>
    <w:rsid w:val="002B5845"/>
    <w:rsid w:val="002B7056"/>
    <w:rsid w:val="002C2B01"/>
    <w:rsid w:val="002C3998"/>
    <w:rsid w:val="002C67A1"/>
    <w:rsid w:val="002D1A0F"/>
    <w:rsid w:val="002D2011"/>
    <w:rsid w:val="002D2B98"/>
    <w:rsid w:val="002D68F0"/>
    <w:rsid w:val="002E1BD0"/>
    <w:rsid w:val="002E1DF8"/>
    <w:rsid w:val="002E1E88"/>
    <w:rsid w:val="002E359A"/>
    <w:rsid w:val="002E365F"/>
    <w:rsid w:val="002E3743"/>
    <w:rsid w:val="002E45C4"/>
    <w:rsid w:val="002E4BDF"/>
    <w:rsid w:val="002E74AF"/>
    <w:rsid w:val="002F29E5"/>
    <w:rsid w:val="002F2B62"/>
    <w:rsid w:val="002F33CA"/>
    <w:rsid w:val="002F3B0B"/>
    <w:rsid w:val="002F466A"/>
    <w:rsid w:val="002F5CEE"/>
    <w:rsid w:val="002F6458"/>
    <w:rsid w:val="002F7FAB"/>
    <w:rsid w:val="003018B3"/>
    <w:rsid w:val="003022D2"/>
    <w:rsid w:val="00304B8C"/>
    <w:rsid w:val="00304EE3"/>
    <w:rsid w:val="003061E8"/>
    <w:rsid w:val="003063A7"/>
    <w:rsid w:val="00311725"/>
    <w:rsid w:val="00312C66"/>
    <w:rsid w:val="003140EE"/>
    <w:rsid w:val="003144B6"/>
    <w:rsid w:val="0031507D"/>
    <w:rsid w:val="003204BB"/>
    <w:rsid w:val="00320D06"/>
    <w:rsid w:val="00320E97"/>
    <w:rsid w:val="003222AA"/>
    <w:rsid w:val="00323470"/>
    <w:rsid w:val="00324EDA"/>
    <w:rsid w:val="00325FF5"/>
    <w:rsid w:val="00326CB4"/>
    <w:rsid w:val="003275FE"/>
    <w:rsid w:val="00334090"/>
    <w:rsid w:val="00340053"/>
    <w:rsid w:val="003420F1"/>
    <w:rsid w:val="00345A6F"/>
    <w:rsid w:val="0035423C"/>
    <w:rsid w:val="00354816"/>
    <w:rsid w:val="00356F02"/>
    <w:rsid w:val="0036441A"/>
    <w:rsid w:val="00364E41"/>
    <w:rsid w:val="00365E98"/>
    <w:rsid w:val="003705B0"/>
    <w:rsid w:val="0037243D"/>
    <w:rsid w:val="003727D4"/>
    <w:rsid w:val="00373954"/>
    <w:rsid w:val="003741EE"/>
    <w:rsid w:val="0037421F"/>
    <w:rsid w:val="00374A5A"/>
    <w:rsid w:val="00375D7A"/>
    <w:rsid w:val="003762E8"/>
    <w:rsid w:val="003763C7"/>
    <w:rsid w:val="003776B8"/>
    <w:rsid w:val="003800AB"/>
    <w:rsid w:val="00381174"/>
    <w:rsid w:val="00381A52"/>
    <w:rsid w:val="0038244F"/>
    <w:rsid w:val="00382DE7"/>
    <w:rsid w:val="003835C7"/>
    <w:rsid w:val="00383D4A"/>
    <w:rsid w:val="003842AC"/>
    <w:rsid w:val="00385FF6"/>
    <w:rsid w:val="0038611E"/>
    <w:rsid w:val="00386D7A"/>
    <w:rsid w:val="0038759D"/>
    <w:rsid w:val="00390B05"/>
    <w:rsid w:val="00392C72"/>
    <w:rsid w:val="00392DEE"/>
    <w:rsid w:val="00393573"/>
    <w:rsid w:val="00393815"/>
    <w:rsid w:val="003A0CCA"/>
    <w:rsid w:val="003A2F47"/>
    <w:rsid w:val="003A41FE"/>
    <w:rsid w:val="003A4E12"/>
    <w:rsid w:val="003B1A25"/>
    <w:rsid w:val="003B424A"/>
    <w:rsid w:val="003B4B7C"/>
    <w:rsid w:val="003B5026"/>
    <w:rsid w:val="003C070B"/>
    <w:rsid w:val="003C3362"/>
    <w:rsid w:val="003C35E5"/>
    <w:rsid w:val="003C3B78"/>
    <w:rsid w:val="003C6088"/>
    <w:rsid w:val="003D0FE2"/>
    <w:rsid w:val="003D2970"/>
    <w:rsid w:val="003D3226"/>
    <w:rsid w:val="003D4E71"/>
    <w:rsid w:val="003D57DC"/>
    <w:rsid w:val="003D61BE"/>
    <w:rsid w:val="003D66CE"/>
    <w:rsid w:val="003D68E7"/>
    <w:rsid w:val="003E03DE"/>
    <w:rsid w:val="003E1EA3"/>
    <w:rsid w:val="003E20AC"/>
    <w:rsid w:val="003E4AE4"/>
    <w:rsid w:val="003E6551"/>
    <w:rsid w:val="003E7D5C"/>
    <w:rsid w:val="003E7EA7"/>
    <w:rsid w:val="003F000F"/>
    <w:rsid w:val="003F0E8E"/>
    <w:rsid w:val="003F1A1C"/>
    <w:rsid w:val="003F2DD4"/>
    <w:rsid w:val="003F3B24"/>
    <w:rsid w:val="003F4308"/>
    <w:rsid w:val="003F467A"/>
    <w:rsid w:val="003F4BA9"/>
    <w:rsid w:val="003F5DDC"/>
    <w:rsid w:val="003F601F"/>
    <w:rsid w:val="003F63A3"/>
    <w:rsid w:val="003F6922"/>
    <w:rsid w:val="00402EC5"/>
    <w:rsid w:val="00403185"/>
    <w:rsid w:val="004035A6"/>
    <w:rsid w:val="00403AE4"/>
    <w:rsid w:val="00405DA4"/>
    <w:rsid w:val="004064F8"/>
    <w:rsid w:val="004117E4"/>
    <w:rsid w:val="00413C8A"/>
    <w:rsid w:val="00417CE7"/>
    <w:rsid w:val="00421703"/>
    <w:rsid w:val="0042302B"/>
    <w:rsid w:val="004249B6"/>
    <w:rsid w:val="00425940"/>
    <w:rsid w:val="00426A66"/>
    <w:rsid w:val="004301BE"/>
    <w:rsid w:val="0043442F"/>
    <w:rsid w:val="00434CC2"/>
    <w:rsid w:val="004405AA"/>
    <w:rsid w:val="0044156B"/>
    <w:rsid w:val="004430B0"/>
    <w:rsid w:val="00443152"/>
    <w:rsid w:val="00445196"/>
    <w:rsid w:val="00446FC7"/>
    <w:rsid w:val="00447713"/>
    <w:rsid w:val="00450A70"/>
    <w:rsid w:val="0045380A"/>
    <w:rsid w:val="0045618B"/>
    <w:rsid w:val="0046032B"/>
    <w:rsid w:val="0046098F"/>
    <w:rsid w:val="00463532"/>
    <w:rsid w:val="00463A63"/>
    <w:rsid w:val="00465304"/>
    <w:rsid w:val="0046582E"/>
    <w:rsid w:val="00466446"/>
    <w:rsid w:val="00470374"/>
    <w:rsid w:val="00472811"/>
    <w:rsid w:val="004732CD"/>
    <w:rsid w:val="00473A75"/>
    <w:rsid w:val="004763D8"/>
    <w:rsid w:val="00476725"/>
    <w:rsid w:val="004828E9"/>
    <w:rsid w:val="004831C2"/>
    <w:rsid w:val="00485A6F"/>
    <w:rsid w:val="0048799F"/>
    <w:rsid w:val="00490434"/>
    <w:rsid w:val="00491552"/>
    <w:rsid w:val="004915A3"/>
    <w:rsid w:val="004916F3"/>
    <w:rsid w:val="004966B0"/>
    <w:rsid w:val="004A283D"/>
    <w:rsid w:val="004A34F7"/>
    <w:rsid w:val="004A4ACB"/>
    <w:rsid w:val="004A57CF"/>
    <w:rsid w:val="004B016A"/>
    <w:rsid w:val="004B30E2"/>
    <w:rsid w:val="004B5B0F"/>
    <w:rsid w:val="004B7B18"/>
    <w:rsid w:val="004C04CB"/>
    <w:rsid w:val="004C1D14"/>
    <w:rsid w:val="004C46D9"/>
    <w:rsid w:val="004C5331"/>
    <w:rsid w:val="004C7424"/>
    <w:rsid w:val="004C78E6"/>
    <w:rsid w:val="004D1229"/>
    <w:rsid w:val="004D30F8"/>
    <w:rsid w:val="004D562D"/>
    <w:rsid w:val="004D670F"/>
    <w:rsid w:val="004E028F"/>
    <w:rsid w:val="004E134B"/>
    <w:rsid w:val="004E38B5"/>
    <w:rsid w:val="004E49EF"/>
    <w:rsid w:val="004E50CA"/>
    <w:rsid w:val="004E6D7A"/>
    <w:rsid w:val="004E73F3"/>
    <w:rsid w:val="004F1BFA"/>
    <w:rsid w:val="004F3972"/>
    <w:rsid w:val="004F398A"/>
    <w:rsid w:val="004F4E84"/>
    <w:rsid w:val="00502086"/>
    <w:rsid w:val="005051C6"/>
    <w:rsid w:val="00505CA7"/>
    <w:rsid w:val="00507151"/>
    <w:rsid w:val="00511F23"/>
    <w:rsid w:val="0051352C"/>
    <w:rsid w:val="0051553C"/>
    <w:rsid w:val="005165AE"/>
    <w:rsid w:val="00524939"/>
    <w:rsid w:val="0052675F"/>
    <w:rsid w:val="005277CE"/>
    <w:rsid w:val="005318B9"/>
    <w:rsid w:val="005323C0"/>
    <w:rsid w:val="0053300B"/>
    <w:rsid w:val="005434AF"/>
    <w:rsid w:val="00544D7F"/>
    <w:rsid w:val="0054672B"/>
    <w:rsid w:val="00546A14"/>
    <w:rsid w:val="00547351"/>
    <w:rsid w:val="00547CD2"/>
    <w:rsid w:val="00547F0D"/>
    <w:rsid w:val="00551AA4"/>
    <w:rsid w:val="00551F53"/>
    <w:rsid w:val="0055376F"/>
    <w:rsid w:val="00555377"/>
    <w:rsid w:val="00556B03"/>
    <w:rsid w:val="00556B3B"/>
    <w:rsid w:val="00557796"/>
    <w:rsid w:val="00557E3B"/>
    <w:rsid w:val="0056074A"/>
    <w:rsid w:val="005625A8"/>
    <w:rsid w:val="00563740"/>
    <w:rsid w:val="00567A31"/>
    <w:rsid w:val="00567DF8"/>
    <w:rsid w:val="005702F3"/>
    <w:rsid w:val="005706A1"/>
    <w:rsid w:val="00571499"/>
    <w:rsid w:val="00571ABB"/>
    <w:rsid w:val="00571DF0"/>
    <w:rsid w:val="00572399"/>
    <w:rsid w:val="00572A12"/>
    <w:rsid w:val="00573623"/>
    <w:rsid w:val="005744E4"/>
    <w:rsid w:val="00575191"/>
    <w:rsid w:val="00577449"/>
    <w:rsid w:val="005812CA"/>
    <w:rsid w:val="00582BD1"/>
    <w:rsid w:val="00583386"/>
    <w:rsid w:val="00583425"/>
    <w:rsid w:val="0058401D"/>
    <w:rsid w:val="00584A8F"/>
    <w:rsid w:val="005872D0"/>
    <w:rsid w:val="00590452"/>
    <w:rsid w:val="00590898"/>
    <w:rsid w:val="0059539A"/>
    <w:rsid w:val="005A3A3C"/>
    <w:rsid w:val="005A584C"/>
    <w:rsid w:val="005A5D9F"/>
    <w:rsid w:val="005A5F7C"/>
    <w:rsid w:val="005B02D8"/>
    <w:rsid w:val="005B0B89"/>
    <w:rsid w:val="005B0BCB"/>
    <w:rsid w:val="005B1248"/>
    <w:rsid w:val="005B7E92"/>
    <w:rsid w:val="005C118E"/>
    <w:rsid w:val="005C17A6"/>
    <w:rsid w:val="005C44EE"/>
    <w:rsid w:val="005C50E4"/>
    <w:rsid w:val="005C56C0"/>
    <w:rsid w:val="005D07D8"/>
    <w:rsid w:val="005D0C46"/>
    <w:rsid w:val="005D2860"/>
    <w:rsid w:val="005D2B08"/>
    <w:rsid w:val="005D5889"/>
    <w:rsid w:val="005E11CE"/>
    <w:rsid w:val="005E1668"/>
    <w:rsid w:val="005E1B23"/>
    <w:rsid w:val="005E2FBC"/>
    <w:rsid w:val="005E71F0"/>
    <w:rsid w:val="005F0215"/>
    <w:rsid w:val="005F1CB0"/>
    <w:rsid w:val="005F1D4B"/>
    <w:rsid w:val="005F2B0A"/>
    <w:rsid w:val="005F3B64"/>
    <w:rsid w:val="005F7F47"/>
    <w:rsid w:val="00601398"/>
    <w:rsid w:val="00603D62"/>
    <w:rsid w:val="00606612"/>
    <w:rsid w:val="00614543"/>
    <w:rsid w:val="00614A72"/>
    <w:rsid w:val="00614AF1"/>
    <w:rsid w:val="00623D38"/>
    <w:rsid w:val="00623D40"/>
    <w:rsid w:val="00623F2E"/>
    <w:rsid w:val="00624286"/>
    <w:rsid w:val="0062797C"/>
    <w:rsid w:val="0063016C"/>
    <w:rsid w:val="0063051E"/>
    <w:rsid w:val="00630BDC"/>
    <w:rsid w:val="00631660"/>
    <w:rsid w:val="0063204A"/>
    <w:rsid w:val="006330AA"/>
    <w:rsid w:val="00635494"/>
    <w:rsid w:val="00635BD1"/>
    <w:rsid w:val="0064101D"/>
    <w:rsid w:val="006420FC"/>
    <w:rsid w:val="00643F00"/>
    <w:rsid w:val="00644801"/>
    <w:rsid w:val="00645158"/>
    <w:rsid w:val="00645F0A"/>
    <w:rsid w:val="0064708B"/>
    <w:rsid w:val="00647EAD"/>
    <w:rsid w:val="00650352"/>
    <w:rsid w:val="006512FA"/>
    <w:rsid w:val="00653F53"/>
    <w:rsid w:val="006600DB"/>
    <w:rsid w:val="006619E6"/>
    <w:rsid w:val="0066310C"/>
    <w:rsid w:val="0066365C"/>
    <w:rsid w:val="006665FE"/>
    <w:rsid w:val="0066742F"/>
    <w:rsid w:val="0067047D"/>
    <w:rsid w:val="00670627"/>
    <w:rsid w:val="0067289E"/>
    <w:rsid w:val="006735E9"/>
    <w:rsid w:val="00673619"/>
    <w:rsid w:val="006753D0"/>
    <w:rsid w:val="0067705C"/>
    <w:rsid w:val="00680AB8"/>
    <w:rsid w:val="0068182E"/>
    <w:rsid w:val="00684C7C"/>
    <w:rsid w:val="00685A67"/>
    <w:rsid w:val="00687000"/>
    <w:rsid w:val="00691F3B"/>
    <w:rsid w:val="006923FB"/>
    <w:rsid w:val="006944E6"/>
    <w:rsid w:val="00694773"/>
    <w:rsid w:val="00695166"/>
    <w:rsid w:val="00695528"/>
    <w:rsid w:val="006A22E8"/>
    <w:rsid w:val="006A24B6"/>
    <w:rsid w:val="006A308B"/>
    <w:rsid w:val="006A444A"/>
    <w:rsid w:val="006A7486"/>
    <w:rsid w:val="006B08EB"/>
    <w:rsid w:val="006B10C1"/>
    <w:rsid w:val="006B4673"/>
    <w:rsid w:val="006B4B42"/>
    <w:rsid w:val="006B545E"/>
    <w:rsid w:val="006B55D2"/>
    <w:rsid w:val="006B6024"/>
    <w:rsid w:val="006B6BDE"/>
    <w:rsid w:val="006B7D06"/>
    <w:rsid w:val="006C2364"/>
    <w:rsid w:val="006C400D"/>
    <w:rsid w:val="006C443E"/>
    <w:rsid w:val="006C4B8A"/>
    <w:rsid w:val="006C5B1F"/>
    <w:rsid w:val="006C6B43"/>
    <w:rsid w:val="006D1B05"/>
    <w:rsid w:val="006D2E91"/>
    <w:rsid w:val="006D4537"/>
    <w:rsid w:val="006D64DD"/>
    <w:rsid w:val="006E16A8"/>
    <w:rsid w:val="006E1B82"/>
    <w:rsid w:val="006E5EF2"/>
    <w:rsid w:val="006E6A54"/>
    <w:rsid w:val="006E711C"/>
    <w:rsid w:val="006E7361"/>
    <w:rsid w:val="006E7B1D"/>
    <w:rsid w:val="006F06EE"/>
    <w:rsid w:val="006F0736"/>
    <w:rsid w:val="006F1C85"/>
    <w:rsid w:val="006F245D"/>
    <w:rsid w:val="006F3B3A"/>
    <w:rsid w:val="006F6274"/>
    <w:rsid w:val="006F69F4"/>
    <w:rsid w:val="0070288B"/>
    <w:rsid w:val="00702B48"/>
    <w:rsid w:val="0070468F"/>
    <w:rsid w:val="00705C85"/>
    <w:rsid w:val="007109BD"/>
    <w:rsid w:val="00711A71"/>
    <w:rsid w:val="0071227B"/>
    <w:rsid w:val="0071341F"/>
    <w:rsid w:val="00713475"/>
    <w:rsid w:val="00714835"/>
    <w:rsid w:val="00714AA1"/>
    <w:rsid w:val="007154BC"/>
    <w:rsid w:val="00716694"/>
    <w:rsid w:val="00716C80"/>
    <w:rsid w:val="00721408"/>
    <w:rsid w:val="0072165F"/>
    <w:rsid w:val="0072310B"/>
    <w:rsid w:val="0072686A"/>
    <w:rsid w:val="00730833"/>
    <w:rsid w:val="00734D5B"/>
    <w:rsid w:val="00734F0D"/>
    <w:rsid w:val="007350AA"/>
    <w:rsid w:val="00741686"/>
    <w:rsid w:val="007448E9"/>
    <w:rsid w:val="007452BB"/>
    <w:rsid w:val="00751B5D"/>
    <w:rsid w:val="00752341"/>
    <w:rsid w:val="00752A3B"/>
    <w:rsid w:val="00752D8A"/>
    <w:rsid w:val="00757A48"/>
    <w:rsid w:val="00760F13"/>
    <w:rsid w:val="00762DC4"/>
    <w:rsid w:val="00764A24"/>
    <w:rsid w:val="007672ED"/>
    <w:rsid w:val="00767CBA"/>
    <w:rsid w:val="00771337"/>
    <w:rsid w:val="007715E3"/>
    <w:rsid w:val="0077285E"/>
    <w:rsid w:val="00772C1C"/>
    <w:rsid w:val="007744AD"/>
    <w:rsid w:val="00775F9E"/>
    <w:rsid w:val="00780AC9"/>
    <w:rsid w:val="007830D4"/>
    <w:rsid w:val="007843EB"/>
    <w:rsid w:val="0079034C"/>
    <w:rsid w:val="00791BF7"/>
    <w:rsid w:val="00792E01"/>
    <w:rsid w:val="0079477E"/>
    <w:rsid w:val="00796CE6"/>
    <w:rsid w:val="0079726C"/>
    <w:rsid w:val="007A00E0"/>
    <w:rsid w:val="007A1294"/>
    <w:rsid w:val="007A13B6"/>
    <w:rsid w:val="007A1B2C"/>
    <w:rsid w:val="007A232A"/>
    <w:rsid w:val="007A3318"/>
    <w:rsid w:val="007A382B"/>
    <w:rsid w:val="007A3853"/>
    <w:rsid w:val="007A7A5E"/>
    <w:rsid w:val="007B044D"/>
    <w:rsid w:val="007B3C0B"/>
    <w:rsid w:val="007B517D"/>
    <w:rsid w:val="007B5231"/>
    <w:rsid w:val="007C076A"/>
    <w:rsid w:val="007C1C20"/>
    <w:rsid w:val="007C2BFE"/>
    <w:rsid w:val="007C2FA6"/>
    <w:rsid w:val="007C4DB0"/>
    <w:rsid w:val="007C667A"/>
    <w:rsid w:val="007C721C"/>
    <w:rsid w:val="007D4785"/>
    <w:rsid w:val="007D4D64"/>
    <w:rsid w:val="007D4FB3"/>
    <w:rsid w:val="007D519A"/>
    <w:rsid w:val="007D64D0"/>
    <w:rsid w:val="007E1A5C"/>
    <w:rsid w:val="007E2032"/>
    <w:rsid w:val="007E3259"/>
    <w:rsid w:val="007E47AA"/>
    <w:rsid w:val="007F0950"/>
    <w:rsid w:val="007F1BD3"/>
    <w:rsid w:val="007F3577"/>
    <w:rsid w:val="007F4844"/>
    <w:rsid w:val="007F4A21"/>
    <w:rsid w:val="007F7093"/>
    <w:rsid w:val="00800EF4"/>
    <w:rsid w:val="00803E61"/>
    <w:rsid w:val="00805A22"/>
    <w:rsid w:val="0080686B"/>
    <w:rsid w:val="00810BD0"/>
    <w:rsid w:val="00812939"/>
    <w:rsid w:val="00813320"/>
    <w:rsid w:val="008133FA"/>
    <w:rsid w:val="00816215"/>
    <w:rsid w:val="008166C2"/>
    <w:rsid w:val="008223BB"/>
    <w:rsid w:val="00822E4C"/>
    <w:rsid w:val="00823AEF"/>
    <w:rsid w:val="00824C0A"/>
    <w:rsid w:val="00826AC1"/>
    <w:rsid w:val="00826B2E"/>
    <w:rsid w:val="0082797F"/>
    <w:rsid w:val="00830AAC"/>
    <w:rsid w:val="00834862"/>
    <w:rsid w:val="00836434"/>
    <w:rsid w:val="008364FA"/>
    <w:rsid w:val="00842D99"/>
    <w:rsid w:val="00843519"/>
    <w:rsid w:val="00844E8F"/>
    <w:rsid w:val="00846C35"/>
    <w:rsid w:val="0084703A"/>
    <w:rsid w:val="00847B97"/>
    <w:rsid w:val="00847CE2"/>
    <w:rsid w:val="008511D2"/>
    <w:rsid w:val="00851F23"/>
    <w:rsid w:val="008521DC"/>
    <w:rsid w:val="00853DB1"/>
    <w:rsid w:val="00854E4B"/>
    <w:rsid w:val="00856B2C"/>
    <w:rsid w:val="00857F21"/>
    <w:rsid w:val="008603FD"/>
    <w:rsid w:val="00861582"/>
    <w:rsid w:val="00861E3B"/>
    <w:rsid w:val="008628A5"/>
    <w:rsid w:val="00862ECA"/>
    <w:rsid w:val="008644AA"/>
    <w:rsid w:val="00865F8D"/>
    <w:rsid w:val="008661C2"/>
    <w:rsid w:val="00866822"/>
    <w:rsid w:val="00866E77"/>
    <w:rsid w:val="00867082"/>
    <w:rsid w:val="0087248B"/>
    <w:rsid w:val="00872B1A"/>
    <w:rsid w:val="0087410E"/>
    <w:rsid w:val="00877B0D"/>
    <w:rsid w:val="00877FA6"/>
    <w:rsid w:val="008818DB"/>
    <w:rsid w:val="00884890"/>
    <w:rsid w:val="008848FB"/>
    <w:rsid w:val="00886C2E"/>
    <w:rsid w:val="00891D82"/>
    <w:rsid w:val="00895FAD"/>
    <w:rsid w:val="008971E8"/>
    <w:rsid w:val="008974FF"/>
    <w:rsid w:val="00897582"/>
    <w:rsid w:val="00897B17"/>
    <w:rsid w:val="008A1780"/>
    <w:rsid w:val="008A259F"/>
    <w:rsid w:val="008A30BA"/>
    <w:rsid w:val="008A71A1"/>
    <w:rsid w:val="008A7E7F"/>
    <w:rsid w:val="008B0908"/>
    <w:rsid w:val="008B33AE"/>
    <w:rsid w:val="008B3BF5"/>
    <w:rsid w:val="008B5081"/>
    <w:rsid w:val="008B5151"/>
    <w:rsid w:val="008B549A"/>
    <w:rsid w:val="008C0A85"/>
    <w:rsid w:val="008C23F5"/>
    <w:rsid w:val="008C37F7"/>
    <w:rsid w:val="008C416D"/>
    <w:rsid w:val="008C4FA1"/>
    <w:rsid w:val="008C6C5A"/>
    <w:rsid w:val="008D0A90"/>
    <w:rsid w:val="008D417C"/>
    <w:rsid w:val="008D78FD"/>
    <w:rsid w:val="008D7A95"/>
    <w:rsid w:val="008E007E"/>
    <w:rsid w:val="008E49DB"/>
    <w:rsid w:val="008E4B72"/>
    <w:rsid w:val="008E5B83"/>
    <w:rsid w:val="008E6151"/>
    <w:rsid w:val="008F0556"/>
    <w:rsid w:val="008F0B57"/>
    <w:rsid w:val="008F1334"/>
    <w:rsid w:val="008F2CCE"/>
    <w:rsid w:val="008F2D8A"/>
    <w:rsid w:val="008F4DD9"/>
    <w:rsid w:val="008F50AD"/>
    <w:rsid w:val="008F598F"/>
    <w:rsid w:val="00904F09"/>
    <w:rsid w:val="00904FED"/>
    <w:rsid w:val="00907253"/>
    <w:rsid w:val="009072D3"/>
    <w:rsid w:val="00911527"/>
    <w:rsid w:val="00913AD8"/>
    <w:rsid w:val="00914238"/>
    <w:rsid w:val="009152CC"/>
    <w:rsid w:val="0091625E"/>
    <w:rsid w:val="00920926"/>
    <w:rsid w:val="00920B6E"/>
    <w:rsid w:val="0092180C"/>
    <w:rsid w:val="00921D76"/>
    <w:rsid w:val="009223B5"/>
    <w:rsid w:val="00923322"/>
    <w:rsid w:val="0092625B"/>
    <w:rsid w:val="0093040C"/>
    <w:rsid w:val="00932D7B"/>
    <w:rsid w:val="00933328"/>
    <w:rsid w:val="00934E5A"/>
    <w:rsid w:val="009355B3"/>
    <w:rsid w:val="00935963"/>
    <w:rsid w:val="00937142"/>
    <w:rsid w:val="00940446"/>
    <w:rsid w:val="00942E2C"/>
    <w:rsid w:val="00944345"/>
    <w:rsid w:val="0094584B"/>
    <w:rsid w:val="00945BC2"/>
    <w:rsid w:val="00951386"/>
    <w:rsid w:val="00951BAF"/>
    <w:rsid w:val="009525B6"/>
    <w:rsid w:val="00952D63"/>
    <w:rsid w:val="00953E09"/>
    <w:rsid w:val="009546A9"/>
    <w:rsid w:val="009574A7"/>
    <w:rsid w:val="00957837"/>
    <w:rsid w:val="009609B7"/>
    <w:rsid w:val="009610A0"/>
    <w:rsid w:val="0096718D"/>
    <w:rsid w:val="009671D1"/>
    <w:rsid w:val="009674F7"/>
    <w:rsid w:val="0097052E"/>
    <w:rsid w:val="009705EC"/>
    <w:rsid w:val="009709C3"/>
    <w:rsid w:val="00971800"/>
    <w:rsid w:val="00974B8F"/>
    <w:rsid w:val="00975821"/>
    <w:rsid w:val="009762C4"/>
    <w:rsid w:val="00977250"/>
    <w:rsid w:val="009800AA"/>
    <w:rsid w:val="00980D23"/>
    <w:rsid w:val="009826F6"/>
    <w:rsid w:val="00982F74"/>
    <w:rsid w:val="0098347F"/>
    <w:rsid w:val="00983FC7"/>
    <w:rsid w:val="009859F6"/>
    <w:rsid w:val="00985D1B"/>
    <w:rsid w:val="00987103"/>
    <w:rsid w:val="009926B0"/>
    <w:rsid w:val="009935B9"/>
    <w:rsid w:val="009941DB"/>
    <w:rsid w:val="00994E63"/>
    <w:rsid w:val="00995714"/>
    <w:rsid w:val="00995A0E"/>
    <w:rsid w:val="00996AE0"/>
    <w:rsid w:val="009A09FD"/>
    <w:rsid w:val="009A0C1E"/>
    <w:rsid w:val="009A1614"/>
    <w:rsid w:val="009A5319"/>
    <w:rsid w:val="009A7088"/>
    <w:rsid w:val="009A750A"/>
    <w:rsid w:val="009B00F6"/>
    <w:rsid w:val="009B0DFB"/>
    <w:rsid w:val="009B1D5F"/>
    <w:rsid w:val="009B4011"/>
    <w:rsid w:val="009B7354"/>
    <w:rsid w:val="009C2C9A"/>
    <w:rsid w:val="009C33EF"/>
    <w:rsid w:val="009C625A"/>
    <w:rsid w:val="009C6C27"/>
    <w:rsid w:val="009C7740"/>
    <w:rsid w:val="009C7A6F"/>
    <w:rsid w:val="009C7BB6"/>
    <w:rsid w:val="009C7D10"/>
    <w:rsid w:val="009D024C"/>
    <w:rsid w:val="009D230E"/>
    <w:rsid w:val="009E01C5"/>
    <w:rsid w:val="009E0B84"/>
    <w:rsid w:val="009E2606"/>
    <w:rsid w:val="009E33AA"/>
    <w:rsid w:val="009E3D76"/>
    <w:rsid w:val="009E6D9C"/>
    <w:rsid w:val="009E7A13"/>
    <w:rsid w:val="009E7A19"/>
    <w:rsid w:val="009F0913"/>
    <w:rsid w:val="009F1C16"/>
    <w:rsid w:val="009F3899"/>
    <w:rsid w:val="009F471E"/>
    <w:rsid w:val="009F69B8"/>
    <w:rsid w:val="009F7D6B"/>
    <w:rsid w:val="00A0051A"/>
    <w:rsid w:val="00A054AB"/>
    <w:rsid w:val="00A05CB1"/>
    <w:rsid w:val="00A12058"/>
    <w:rsid w:val="00A15045"/>
    <w:rsid w:val="00A15680"/>
    <w:rsid w:val="00A16B22"/>
    <w:rsid w:val="00A1728B"/>
    <w:rsid w:val="00A17666"/>
    <w:rsid w:val="00A2086F"/>
    <w:rsid w:val="00A21520"/>
    <w:rsid w:val="00A23418"/>
    <w:rsid w:val="00A23EE2"/>
    <w:rsid w:val="00A27098"/>
    <w:rsid w:val="00A30083"/>
    <w:rsid w:val="00A30C83"/>
    <w:rsid w:val="00A31BDB"/>
    <w:rsid w:val="00A34050"/>
    <w:rsid w:val="00A34381"/>
    <w:rsid w:val="00A370D9"/>
    <w:rsid w:val="00A377D1"/>
    <w:rsid w:val="00A37D76"/>
    <w:rsid w:val="00A4014D"/>
    <w:rsid w:val="00A42780"/>
    <w:rsid w:val="00A42FDD"/>
    <w:rsid w:val="00A4326F"/>
    <w:rsid w:val="00A44F8B"/>
    <w:rsid w:val="00A47C79"/>
    <w:rsid w:val="00A51094"/>
    <w:rsid w:val="00A53764"/>
    <w:rsid w:val="00A5376D"/>
    <w:rsid w:val="00A54ACA"/>
    <w:rsid w:val="00A5566B"/>
    <w:rsid w:val="00A61DEC"/>
    <w:rsid w:val="00A624FF"/>
    <w:rsid w:val="00A62C42"/>
    <w:rsid w:val="00A6463A"/>
    <w:rsid w:val="00A647C7"/>
    <w:rsid w:val="00A64E49"/>
    <w:rsid w:val="00A65212"/>
    <w:rsid w:val="00A66A18"/>
    <w:rsid w:val="00A70108"/>
    <w:rsid w:val="00A704D0"/>
    <w:rsid w:val="00A70CFD"/>
    <w:rsid w:val="00A718C3"/>
    <w:rsid w:val="00A72574"/>
    <w:rsid w:val="00A73355"/>
    <w:rsid w:val="00A74C52"/>
    <w:rsid w:val="00A76091"/>
    <w:rsid w:val="00A77020"/>
    <w:rsid w:val="00A80178"/>
    <w:rsid w:val="00A82A48"/>
    <w:rsid w:val="00A85CC6"/>
    <w:rsid w:val="00A85D8D"/>
    <w:rsid w:val="00A86FD4"/>
    <w:rsid w:val="00A900AD"/>
    <w:rsid w:val="00A90C49"/>
    <w:rsid w:val="00A91789"/>
    <w:rsid w:val="00A91901"/>
    <w:rsid w:val="00A93193"/>
    <w:rsid w:val="00A9387F"/>
    <w:rsid w:val="00AA5992"/>
    <w:rsid w:val="00AA6203"/>
    <w:rsid w:val="00AA68AA"/>
    <w:rsid w:val="00AB02AC"/>
    <w:rsid w:val="00AB10E1"/>
    <w:rsid w:val="00AB1A07"/>
    <w:rsid w:val="00AB2716"/>
    <w:rsid w:val="00AB40A3"/>
    <w:rsid w:val="00AB5317"/>
    <w:rsid w:val="00AB661C"/>
    <w:rsid w:val="00AC0F73"/>
    <w:rsid w:val="00AC105B"/>
    <w:rsid w:val="00AC109E"/>
    <w:rsid w:val="00AC187E"/>
    <w:rsid w:val="00AC1E79"/>
    <w:rsid w:val="00AC4994"/>
    <w:rsid w:val="00AC59DB"/>
    <w:rsid w:val="00AD077F"/>
    <w:rsid w:val="00AD1582"/>
    <w:rsid w:val="00AD16DF"/>
    <w:rsid w:val="00AD46DB"/>
    <w:rsid w:val="00AE0F48"/>
    <w:rsid w:val="00AE2891"/>
    <w:rsid w:val="00AE48EA"/>
    <w:rsid w:val="00AE48FC"/>
    <w:rsid w:val="00AE4DC6"/>
    <w:rsid w:val="00AE5347"/>
    <w:rsid w:val="00AE6A00"/>
    <w:rsid w:val="00AE760D"/>
    <w:rsid w:val="00AF03CD"/>
    <w:rsid w:val="00AF1BB5"/>
    <w:rsid w:val="00AF1FB9"/>
    <w:rsid w:val="00AF33DB"/>
    <w:rsid w:val="00AF37AB"/>
    <w:rsid w:val="00AF37D9"/>
    <w:rsid w:val="00AF3E71"/>
    <w:rsid w:val="00AF4B92"/>
    <w:rsid w:val="00AF4C04"/>
    <w:rsid w:val="00AF70D6"/>
    <w:rsid w:val="00B0047E"/>
    <w:rsid w:val="00B01181"/>
    <w:rsid w:val="00B03774"/>
    <w:rsid w:val="00B0431F"/>
    <w:rsid w:val="00B102BF"/>
    <w:rsid w:val="00B128BC"/>
    <w:rsid w:val="00B15651"/>
    <w:rsid w:val="00B1754C"/>
    <w:rsid w:val="00B20599"/>
    <w:rsid w:val="00B2116B"/>
    <w:rsid w:val="00B2167B"/>
    <w:rsid w:val="00B21F47"/>
    <w:rsid w:val="00B2371C"/>
    <w:rsid w:val="00B264CB"/>
    <w:rsid w:val="00B27768"/>
    <w:rsid w:val="00B30CF9"/>
    <w:rsid w:val="00B319D1"/>
    <w:rsid w:val="00B31D79"/>
    <w:rsid w:val="00B35157"/>
    <w:rsid w:val="00B40273"/>
    <w:rsid w:val="00B41B22"/>
    <w:rsid w:val="00B41F72"/>
    <w:rsid w:val="00B420A6"/>
    <w:rsid w:val="00B438F8"/>
    <w:rsid w:val="00B43906"/>
    <w:rsid w:val="00B4463B"/>
    <w:rsid w:val="00B450AC"/>
    <w:rsid w:val="00B4578C"/>
    <w:rsid w:val="00B468B1"/>
    <w:rsid w:val="00B5219A"/>
    <w:rsid w:val="00B53C66"/>
    <w:rsid w:val="00B54418"/>
    <w:rsid w:val="00B54C87"/>
    <w:rsid w:val="00B6144B"/>
    <w:rsid w:val="00B6183B"/>
    <w:rsid w:val="00B71267"/>
    <w:rsid w:val="00B7189E"/>
    <w:rsid w:val="00B728C6"/>
    <w:rsid w:val="00B72D03"/>
    <w:rsid w:val="00B733DA"/>
    <w:rsid w:val="00B76269"/>
    <w:rsid w:val="00B763DE"/>
    <w:rsid w:val="00B76BA5"/>
    <w:rsid w:val="00B824BD"/>
    <w:rsid w:val="00B84A84"/>
    <w:rsid w:val="00B878E9"/>
    <w:rsid w:val="00B87CDE"/>
    <w:rsid w:val="00B9046D"/>
    <w:rsid w:val="00B91B79"/>
    <w:rsid w:val="00B92630"/>
    <w:rsid w:val="00B94492"/>
    <w:rsid w:val="00B966F3"/>
    <w:rsid w:val="00B96AD2"/>
    <w:rsid w:val="00B971FC"/>
    <w:rsid w:val="00BA1A19"/>
    <w:rsid w:val="00BA1EDD"/>
    <w:rsid w:val="00BA3EE1"/>
    <w:rsid w:val="00BA4417"/>
    <w:rsid w:val="00BA5488"/>
    <w:rsid w:val="00BB5B08"/>
    <w:rsid w:val="00BB5F72"/>
    <w:rsid w:val="00BC026C"/>
    <w:rsid w:val="00BC1DD1"/>
    <w:rsid w:val="00BC2A37"/>
    <w:rsid w:val="00BC30AE"/>
    <w:rsid w:val="00BC30D9"/>
    <w:rsid w:val="00BC620C"/>
    <w:rsid w:val="00BC780B"/>
    <w:rsid w:val="00BD1500"/>
    <w:rsid w:val="00BD1D6B"/>
    <w:rsid w:val="00BD3276"/>
    <w:rsid w:val="00BD5893"/>
    <w:rsid w:val="00BD6789"/>
    <w:rsid w:val="00BD7571"/>
    <w:rsid w:val="00BE4D7F"/>
    <w:rsid w:val="00BF1883"/>
    <w:rsid w:val="00BF2585"/>
    <w:rsid w:val="00BF296B"/>
    <w:rsid w:val="00BF2CF3"/>
    <w:rsid w:val="00BF4725"/>
    <w:rsid w:val="00BF4E1E"/>
    <w:rsid w:val="00BF5047"/>
    <w:rsid w:val="00BF697C"/>
    <w:rsid w:val="00BF7757"/>
    <w:rsid w:val="00C00FAE"/>
    <w:rsid w:val="00C01645"/>
    <w:rsid w:val="00C035B5"/>
    <w:rsid w:val="00C04160"/>
    <w:rsid w:val="00C04349"/>
    <w:rsid w:val="00C06347"/>
    <w:rsid w:val="00C06EE2"/>
    <w:rsid w:val="00C075BF"/>
    <w:rsid w:val="00C11D0A"/>
    <w:rsid w:val="00C1262E"/>
    <w:rsid w:val="00C12928"/>
    <w:rsid w:val="00C145FB"/>
    <w:rsid w:val="00C17822"/>
    <w:rsid w:val="00C201EA"/>
    <w:rsid w:val="00C22877"/>
    <w:rsid w:val="00C24046"/>
    <w:rsid w:val="00C27B71"/>
    <w:rsid w:val="00C30556"/>
    <w:rsid w:val="00C32144"/>
    <w:rsid w:val="00C34487"/>
    <w:rsid w:val="00C34BCA"/>
    <w:rsid w:val="00C361CC"/>
    <w:rsid w:val="00C36FE0"/>
    <w:rsid w:val="00C37095"/>
    <w:rsid w:val="00C40AD3"/>
    <w:rsid w:val="00C40BD0"/>
    <w:rsid w:val="00C44CCB"/>
    <w:rsid w:val="00C463BC"/>
    <w:rsid w:val="00C468AB"/>
    <w:rsid w:val="00C47329"/>
    <w:rsid w:val="00C52769"/>
    <w:rsid w:val="00C5279A"/>
    <w:rsid w:val="00C52BF2"/>
    <w:rsid w:val="00C53A51"/>
    <w:rsid w:val="00C6377A"/>
    <w:rsid w:val="00C63829"/>
    <w:rsid w:val="00C6397E"/>
    <w:rsid w:val="00C64780"/>
    <w:rsid w:val="00C73949"/>
    <w:rsid w:val="00C756AF"/>
    <w:rsid w:val="00C76229"/>
    <w:rsid w:val="00C765B4"/>
    <w:rsid w:val="00C80EF2"/>
    <w:rsid w:val="00C81043"/>
    <w:rsid w:val="00C8165D"/>
    <w:rsid w:val="00C83F67"/>
    <w:rsid w:val="00C8501A"/>
    <w:rsid w:val="00C861ED"/>
    <w:rsid w:val="00C93592"/>
    <w:rsid w:val="00C953B3"/>
    <w:rsid w:val="00C9648F"/>
    <w:rsid w:val="00CA0B7A"/>
    <w:rsid w:val="00CA2F53"/>
    <w:rsid w:val="00CA5A82"/>
    <w:rsid w:val="00CB13EC"/>
    <w:rsid w:val="00CB21F5"/>
    <w:rsid w:val="00CB768D"/>
    <w:rsid w:val="00CC03FC"/>
    <w:rsid w:val="00CC0B7A"/>
    <w:rsid w:val="00CC0FFE"/>
    <w:rsid w:val="00CC19D7"/>
    <w:rsid w:val="00CC2F16"/>
    <w:rsid w:val="00CC30BE"/>
    <w:rsid w:val="00CC5334"/>
    <w:rsid w:val="00CD06BF"/>
    <w:rsid w:val="00CD124D"/>
    <w:rsid w:val="00CD201F"/>
    <w:rsid w:val="00CD3061"/>
    <w:rsid w:val="00CD3317"/>
    <w:rsid w:val="00CD6F7C"/>
    <w:rsid w:val="00CE1196"/>
    <w:rsid w:val="00CE1F9C"/>
    <w:rsid w:val="00CE33C2"/>
    <w:rsid w:val="00CE4F3D"/>
    <w:rsid w:val="00CE6F57"/>
    <w:rsid w:val="00CF030F"/>
    <w:rsid w:val="00CF11B0"/>
    <w:rsid w:val="00CF16DE"/>
    <w:rsid w:val="00CF1FE7"/>
    <w:rsid w:val="00CF2225"/>
    <w:rsid w:val="00CF225E"/>
    <w:rsid w:val="00CF3441"/>
    <w:rsid w:val="00CF4074"/>
    <w:rsid w:val="00CF48B6"/>
    <w:rsid w:val="00CF52DE"/>
    <w:rsid w:val="00CF57AA"/>
    <w:rsid w:val="00CF62FB"/>
    <w:rsid w:val="00CF7547"/>
    <w:rsid w:val="00D005FE"/>
    <w:rsid w:val="00D022C0"/>
    <w:rsid w:val="00D06382"/>
    <w:rsid w:val="00D12931"/>
    <w:rsid w:val="00D1294C"/>
    <w:rsid w:val="00D12A86"/>
    <w:rsid w:val="00D142C1"/>
    <w:rsid w:val="00D16789"/>
    <w:rsid w:val="00D20334"/>
    <w:rsid w:val="00D20FDF"/>
    <w:rsid w:val="00D3006D"/>
    <w:rsid w:val="00D325B2"/>
    <w:rsid w:val="00D3377B"/>
    <w:rsid w:val="00D375C3"/>
    <w:rsid w:val="00D4110E"/>
    <w:rsid w:val="00D4161D"/>
    <w:rsid w:val="00D4295B"/>
    <w:rsid w:val="00D43DA1"/>
    <w:rsid w:val="00D45D34"/>
    <w:rsid w:val="00D47E52"/>
    <w:rsid w:val="00D508A4"/>
    <w:rsid w:val="00D5260F"/>
    <w:rsid w:val="00D54FAF"/>
    <w:rsid w:val="00D558DE"/>
    <w:rsid w:val="00D56C18"/>
    <w:rsid w:val="00D61568"/>
    <w:rsid w:val="00D63E63"/>
    <w:rsid w:val="00D65F64"/>
    <w:rsid w:val="00D6662C"/>
    <w:rsid w:val="00D70101"/>
    <w:rsid w:val="00D70417"/>
    <w:rsid w:val="00D71212"/>
    <w:rsid w:val="00D715B7"/>
    <w:rsid w:val="00D75686"/>
    <w:rsid w:val="00D80069"/>
    <w:rsid w:val="00D84D56"/>
    <w:rsid w:val="00D85FB4"/>
    <w:rsid w:val="00D87AB8"/>
    <w:rsid w:val="00D92975"/>
    <w:rsid w:val="00D948DF"/>
    <w:rsid w:val="00D95541"/>
    <w:rsid w:val="00D96190"/>
    <w:rsid w:val="00DA07D3"/>
    <w:rsid w:val="00DA23C9"/>
    <w:rsid w:val="00DA4217"/>
    <w:rsid w:val="00DA5BA0"/>
    <w:rsid w:val="00DA667C"/>
    <w:rsid w:val="00DA6755"/>
    <w:rsid w:val="00DA697F"/>
    <w:rsid w:val="00DB00CF"/>
    <w:rsid w:val="00DB0D20"/>
    <w:rsid w:val="00DB0D49"/>
    <w:rsid w:val="00DB30C6"/>
    <w:rsid w:val="00DB45C6"/>
    <w:rsid w:val="00DB6277"/>
    <w:rsid w:val="00DC0ABD"/>
    <w:rsid w:val="00DC0B6E"/>
    <w:rsid w:val="00DC19F7"/>
    <w:rsid w:val="00DC27EA"/>
    <w:rsid w:val="00DC4B90"/>
    <w:rsid w:val="00DC5142"/>
    <w:rsid w:val="00DC62EC"/>
    <w:rsid w:val="00DD05AF"/>
    <w:rsid w:val="00DD0C0A"/>
    <w:rsid w:val="00DD1360"/>
    <w:rsid w:val="00DD3D9E"/>
    <w:rsid w:val="00DD461A"/>
    <w:rsid w:val="00DD497B"/>
    <w:rsid w:val="00DD59C5"/>
    <w:rsid w:val="00DD5FB8"/>
    <w:rsid w:val="00DE032B"/>
    <w:rsid w:val="00DE2704"/>
    <w:rsid w:val="00DE3AEF"/>
    <w:rsid w:val="00DF0780"/>
    <w:rsid w:val="00DF129D"/>
    <w:rsid w:val="00DF248D"/>
    <w:rsid w:val="00DF305F"/>
    <w:rsid w:val="00DF3281"/>
    <w:rsid w:val="00DF34B2"/>
    <w:rsid w:val="00DF401D"/>
    <w:rsid w:val="00DF5231"/>
    <w:rsid w:val="00DF6812"/>
    <w:rsid w:val="00DF7389"/>
    <w:rsid w:val="00E008EE"/>
    <w:rsid w:val="00E009E6"/>
    <w:rsid w:val="00E01F04"/>
    <w:rsid w:val="00E02F5D"/>
    <w:rsid w:val="00E066D8"/>
    <w:rsid w:val="00E11C8B"/>
    <w:rsid w:val="00E121C4"/>
    <w:rsid w:val="00E13400"/>
    <w:rsid w:val="00E13D84"/>
    <w:rsid w:val="00E140D8"/>
    <w:rsid w:val="00E151B9"/>
    <w:rsid w:val="00E153AD"/>
    <w:rsid w:val="00E15D1C"/>
    <w:rsid w:val="00E168E6"/>
    <w:rsid w:val="00E22B00"/>
    <w:rsid w:val="00E25765"/>
    <w:rsid w:val="00E259DC"/>
    <w:rsid w:val="00E26A07"/>
    <w:rsid w:val="00E31D14"/>
    <w:rsid w:val="00E404C7"/>
    <w:rsid w:val="00E40B53"/>
    <w:rsid w:val="00E438EA"/>
    <w:rsid w:val="00E46F32"/>
    <w:rsid w:val="00E501D5"/>
    <w:rsid w:val="00E51836"/>
    <w:rsid w:val="00E520C7"/>
    <w:rsid w:val="00E52E9D"/>
    <w:rsid w:val="00E5387D"/>
    <w:rsid w:val="00E578AB"/>
    <w:rsid w:val="00E619FE"/>
    <w:rsid w:val="00E65E4C"/>
    <w:rsid w:val="00E67AD0"/>
    <w:rsid w:val="00E67C5F"/>
    <w:rsid w:val="00E70477"/>
    <w:rsid w:val="00E77BEE"/>
    <w:rsid w:val="00E803CA"/>
    <w:rsid w:val="00E81382"/>
    <w:rsid w:val="00E83CDA"/>
    <w:rsid w:val="00E83E5E"/>
    <w:rsid w:val="00E84769"/>
    <w:rsid w:val="00E858F6"/>
    <w:rsid w:val="00E9012F"/>
    <w:rsid w:val="00E923CC"/>
    <w:rsid w:val="00E924EC"/>
    <w:rsid w:val="00E92D4A"/>
    <w:rsid w:val="00E9591F"/>
    <w:rsid w:val="00E962E3"/>
    <w:rsid w:val="00E96DC4"/>
    <w:rsid w:val="00EA1D29"/>
    <w:rsid w:val="00EA1E7A"/>
    <w:rsid w:val="00EA2D75"/>
    <w:rsid w:val="00EA3836"/>
    <w:rsid w:val="00EA4469"/>
    <w:rsid w:val="00EB22B9"/>
    <w:rsid w:val="00EB273B"/>
    <w:rsid w:val="00EB2AB3"/>
    <w:rsid w:val="00EB2D1E"/>
    <w:rsid w:val="00EB3132"/>
    <w:rsid w:val="00EB6238"/>
    <w:rsid w:val="00EB65AA"/>
    <w:rsid w:val="00EC20D9"/>
    <w:rsid w:val="00EC468D"/>
    <w:rsid w:val="00EC50EC"/>
    <w:rsid w:val="00EC5AAD"/>
    <w:rsid w:val="00ED19C2"/>
    <w:rsid w:val="00ED3B08"/>
    <w:rsid w:val="00ED5D00"/>
    <w:rsid w:val="00EE2376"/>
    <w:rsid w:val="00EE2436"/>
    <w:rsid w:val="00EE2479"/>
    <w:rsid w:val="00EE2AB4"/>
    <w:rsid w:val="00EE2B26"/>
    <w:rsid w:val="00EE3D8C"/>
    <w:rsid w:val="00EE41F6"/>
    <w:rsid w:val="00EE4CB7"/>
    <w:rsid w:val="00EE64AF"/>
    <w:rsid w:val="00EE67ED"/>
    <w:rsid w:val="00EF00C7"/>
    <w:rsid w:val="00EF12CB"/>
    <w:rsid w:val="00EF4AA1"/>
    <w:rsid w:val="00EF6DCE"/>
    <w:rsid w:val="00F02A9D"/>
    <w:rsid w:val="00F03CE4"/>
    <w:rsid w:val="00F06DC6"/>
    <w:rsid w:val="00F0747C"/>
    <w:rsid w:val="00F0778F"/>
    <w:rsid w:val="00F10C33"/>
    <w:rsid w:val="00F12038"/>
    <w:rsid w:val="00F12181"/>
    <w:rsid w:val="00F12461"/>
    <w:rsid w:val="00F1278F"/>
    <w:rsid w:val="00F1335B"/>
    <w:rsid w:val="00F1353E"/>
    <w:rsid w:val="00F3084D"/>
    <w:rsid w:val="00F33ECC"/>
    <w:rsid w:val="00F36F7D"/>
    <w:rsid w:val="00F37B55"/>
    <w:rsid w:val="00F45D52"/>
    <w:rsid w:val="00F5266C"/>
    <w:rsid w:val="00F528D3"/>
    <w:rsid w:val="00F52EC0"/>
    <w:rsid w:val="00F543BC"/>
    <w:rsid w:val="00F55C62"/>
    <w:rsid w:val="00F57FFD"/>
    <w:rsid w:val="00F60A42"/>
    <w:rsid w:val="00F614D9"/>
    <w:rsid w:val="00F619F3"/>
    <w:rsid w:val="00F62DF6"/>
    <w:rsid w:val="00F63B1C"/>
    <w:rsid w:val="00F63DF5"/>
    <w:rsid w:val="00F71458"/>
    <w:rsid w:val="00F81269"/>
    <w:rsid w:val="00F83C92"/>
    <w:rsid w:val="00F84118"/>
    <w:rsid w:val="00F84E12"/>
    <w:rsid w:val="00F87D22"/>
    <w:rsid w:val="00F91BDF"/>
    <w:rsid w:val="00F95A43"/>
    <w:rsid w:val="00F9640F"/>
    <w:rsid w:val="00F97772"/>
    <w:rsid w:val="00F97D0D"/>
    <w:rsid w:val="00FA1A59"/>
    <w:rsid w:val="00FA3784"/>
    <w:rsid w:val="00FA3C4B"/>
    <w:rsid w:val="00FA46E9"/>
    <w:rsid w:val="00FB1C84"/>
    <w:rsid w:val="00FB2E0B"/>
    <w:rsid w:val="00FB3171"/>
    <w:rsid w:val="00FB6559"/>
    <w:rsid w:val="00FC20D5"/>
    <w:rsid w:val="00FC36C0"/>
    <w:rsid w:val="00FC4874"/>
    <w:rsid w:val="00FC7242"/>
    <w:rsid w:val="00FC79D6"/>
    <w:rsid w:val="00FD2903"/>
    <w:rsid w:val="00FD4270"/>
    <w:rsid w:val="00FD44D4"/>
    <w:rsid w:val="00FD531A"/>
    <w:rsid w:val="00FD67DA"/>
    <w:rsid w:val="00FE0C3B"/>
    <w:rsid w:val="00FE27E2"/>
    <w:rsid w:val="00FE2B69"/>
    <w:rsid w:val="00FE7A7D"/>
    <w:rsid w:val="00FF1A4F"/>
    <w:rsid w:val="00FF1E64"/>
    <w:rsid w:val="00FF2539"/>
    <w:rsid w:val="00FF369A"/>
    <w:rsid w:val="00FF476D"/>
    <w:rsid w:val="00FF4CA6"/>
    <w:rsid w:val="00FF58A6"/>
    <w:rsid w:val="00FF77CB"/>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EDA5E8"/>
  <w15:chartTrackingRefBased/>
  <w15:docId w15:val="{EC5827D8-8139-48FB-A9FC-60AA859B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70"/>
    <w:rPr>
      <w:rFonts w:ascii="Arial" w:hAnsi="Arial"/>
      <w:sz w:val="22"/>
      <w:szCs w:val="24"/>
      <w:lang w:val="en-US"/>
    </w:rPr>
  </w:style>
  <w:style w:type="paragraph" w:styleId="Heading1">
    <w:name w:val="heading 1"/>
    <w:basedOn w:val="Default"/>
    <w:next w:val="Normal"/>
    <w:link w:val="Heading1Char"/>
    <w:uiPriority w:val="9"/>
    <w:qFormat/>
    <w:rsid w:val="001E0D51"/>
    <w:pPr>
      <w:numPr>
        <w:numId w:val="1"/>
      </w:numPr>
      <w:tabs>
        <w:tab w:val="left" w:pos="0"/>
      </w:tabs>
      <w:ind w:left="-207"/>
      <w:jc w:val="both"/>
      <w:outlineLvl w:val="0"/>
    </w:pPr>
    <w:rPr>
      <w:rFonts w:ascii="Arial" w:hAnsi="Arial" w:cs="Arial"/>
      <w:b/>
      <w:sz w:val="22"/>
      <w:szCs w:val="22"/>
    </w:rPr>
  </w:style>
  <w:style w:type="paragraph" w:styleId="Heading2">
    <w:name w:val="heading 2"/>
    <w:basedOn w:val="Normal"/>
    <w:next w:val="Normal"/>
    <w:link w:val="Heading2Char"/>
    <w:uiPriority w:val="9"/>
    <w:unhideWhenUsed/>
    <w:qFormat/>
    <w:rsid w:val="007B044D"/>
    <w:pPr>
      <w:numPr>
        <w:ilvl w:val="1"/>
        <w:numId w:val="1"/>
      </w:numPr>
      <w:outlineLvl w:val="1"/>
    </w:pPr>
    <w:rPr>
      <w:b/>
      <w:szCs w:val="22"/>
      <w:lang w:eastAsia="en-US"/>
    </w:rPr>
  </w:style>
  <w:style w:type="paragraph" w:styleId="Heading3">
    <w:name w:val="heading 3"/>
    <w:basedOn w:val="Heading2"/>
    <w:next w:val="Normal"/>
    <w:link w:val="Heading3Char"/>
    <w:uiPriority w:val="9"/>
    <w:unhideWhenUsed/>
    <w:qFormat/>
    <w:rsid w:val="008C6C5A"/>
    <w:pPr>
      <w:ind w:left="-135"/>
      <w:outlineLvl w:val="2"/>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994"/>
    <w:pPr>
      <w:autoSpaceDE w:val="0"/>
      <w:autoSpaceDN w:val="0"/>
      <w:adjustRightInd w:val="0"/>
    </w:pPr>
    <w:rPr>
      <w:rFonts w:ascii="Palatino" w:hAnsi="Palatino" w:cs="Palatino"/>
      <w:color w:val="000000"/>
      <w:sz w:val="24"/>
      <w:szCs w:val="24"/>
      <w:lang w:val="en-US" w:eastAsia="en-US"/>
    </w:rPr>
  </w:style>
  <w:style w:type="paragraph" w:customStyle="1" w:styleId="NormalWeb12">
    <w:name w:val="Normal (Web)12"/>
    <w:basedOn w:val="Default"/>
    <w:next w:val="Default"/>
    <w:rsid w:val="00227994"/>
    <w:rPr>
      <w:rFonts w:cs="Times New Roman"/>
      <w:color w:val="auto"/>
    </w:rPr>
  </w:style>
  <w:style w:type="paragraph" w:styleId="NormalWeb">
    <w:name w:val="Normal (Web)"/>
    <w:basedOn w:val="Normal"/>
    <w:uiPriority w:val="99"/>
    <w:rsid w:val="00557E3B"/>
    <w:pPr>
      <w:spacing w:before="100" w:beforeAutospacing="1" w:after="100" w:afterAutospacing="1"/>
    </w:pPr>
  </w:style>
  <w:style w:type="table" w:styleId="TableGrid">
    <w:name w:val="Table Grid"/>
    <w:basedOn w:val="TableNormal"/>
    <w:rsid w:val="00570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2F5D"/>
    <w:pPr>
      <w:tabs>
        <w:tab w:val="center" w:pos="4153"/>
        <w:tab w:val="right" w:pos="8306"/>
      </w:tabs>
    </w:pPr>
  </w:style>
  <w:style w:type="paragraph" w:styleId="Footer">
    <w:name w:val="footer"/>
    <w:basedOn w:val="Normal"/>
    <w:link w:val="FooterChar"/>
    <w:uiPriority w:val="99"/>
    <w:rsid w:val="00E02F5D"/>
    <w:pPr>
      <w:tabs>
        <w:tab w:val="center" w:pos="4153"/>
        <w:tab w:val="right" w:pos="8306"/>
      </w:tabs>
    </w:pPr>
  </w:style>
  <w:style w:type="character" w:styleId="PageNumber">
    <w:name w:val="page number"/>
    <w:basedOn w:val="DefaultParagraphFont"/>
    <w:rsid w:val="00125779"/>
  </w:style>
  <w:style w:type="paragraph" w:customStyle="1" w:styleId="CharChar">
    <w:name w:val="Char Char"/>
    <w:basedOn w:val="Normal"/>
    <w:rsid w:val="00260075"/>
    <w:pPr>
      <w:spacing w:after="160" w:line="240" w:lineRule="exact"/>
    </w:pPr>
    <w:rPr>
      <w:rFonts w:ascii="Verdana" w:hAnsi="Verdana"/>
      <w:sz w:val="20"/>
      <w:szCs w:val="20"/>
    </w:rPr>
  </w:style>
  <w:style w:type="character" w:customStyle="1" w:styleId="Heading1Char">
    <w:name w:val="Heading 1 Char"/>
    <w:link w:val="Heading1"/>
    <w:uiPriority w:val="9"/>
    <w:rsid w:val="001E0D51"/>
    <w:rPr>
      <w:rFonts w:ascii="Arial" w:hAnsi="Arial" w:cs="Arial"/>
      <w:b/>
      <w:color w:val="000000"/>
      <w:sz w:val="22"/>
      <w:szCs w:val="22"/>
      <w:lang w:val="en-US" w:eastAsia="en-US"/>
    </w:rPr>
  </w:style>
  <w:style w:type="paragraph" w:styleId="TOCHeading">
    <w:name w:val="TOC Heading"/>
    <w:basedOn w:val="Heading1"/>
    <w:next w:val="Normal"/>
    <w:uiPriority w:val="39"/>
    <w:unhideWhenUsed/>
    <w:qFormat/>
    <w:rsid w:val="002F3B0B"/>
    <w:pPr>
      <w:keepLines/>
      <w:spacing w:before="480" w:line="276" w:lineRule="auto"/>
      <w:outlineLvl w:val="9"/>
    </w:pPr>
    <w:rPr>
      <w:rFonts w:ascii="Cambria" w:eastAsia="MS Gothic" w:hAnsi="Cambria" w:cs="Times New Roman"/>
      <w:color w:val="365F91"/>
      <w:sz w:val="28"/>
      <w:szCs w:val="28"/>
      <w:lang w:eastAsia="ja-JP"/>
    </w:rPr>
  </w:style>
  <w:style w:type="paragraph" w:styleId="TOC1">
    <w:name w:val="toc 1"/>
    <w:basedOn w:val="Normal"/>
    <w:next w:val="Normal"/>
    <w:autoRedefine/>
    <w:uiPriority w:val="39"/>
    <w:unhideWhenUsed/>
    <w:rsid w:val="001B6F7F"/>
    <w:pPr>
      <w:tabs>
        <w:tab w:val="left" w:pos="440"/>
        <w:tab w:val="right" w:leader="dot" w:pos="9962"/>
      </w:tabs>
      <w:spacing w:before="80"/>
    </w:pPr>
  </w:style>
  <w:style w:type="character" w:styleId="Hyperlink">
    <w:name w:val="Hyperlink"/>
    <w:uiPriority w:val="99"/>
    <w:unhideWhenUsed/>
    <w:rsid w:val="002F3B0B"/>
    <w:rPr>
      <w:color w:val="0000FF"/>
      <w:u w:val="single"/>
    </w:rPr>
  </w:style>
  <w:style w:type="paragraph" w:styleId="BalloonText">
    <w:name w:val="Balloon Text"/>
    <w:basedOn w:val="Normal"/>
    <w:link w:val="BalloonTextChar"/>
    <w:uiPriority w:val="99"/>
    <w:semiHidden/>
    <w:unhideWhenUsed/>
    <w:rsid w:val="006753D0"/>
    <w:rPr>
      <w:rFonts w:ascii="Tahoma" w:hAnsi="Tahoma" w:cs="Tahoma"/>
      <w:sz w:val="16"/>
      <w:szCs w:val="16"/>
    </w:rPr>
  </w:style>
  <w:style w:type="character" w:customStyle="1" w:styleId="BalloonTextChar">
    <w:name w:val="Balloon Text Char"/>
    <w:link w:val="BalloonText"/>
    <w:uiPriority w:val="99"/>
    <w:semiHidden/>
    <w:rsid w:val="006753D0"/>
    <w:rPr>
      <w:rFonts w:ascii="Tahoma" w:hAnsi="Tahoma" w:cs="Tahoma"/>
      <w:sz w:val="16"/>
      <w:szCs w:val="16"/>
      <w:lang w:val="en-US" w:eastAsia="en-US"/>
    </w:rPr>
  </w:style>
  <w:style w:type="character" w:customStyle="1" w:styleId="HeaderChar">
    <w:name w:val="Header Char"/>
    <w:link w:val="Header"/>
    <w:uiPriority w:val="99"/>
    <w:rsid w:val="00D375C3"/>
    <w:rPr>
      <w:sz w:val="24"/>
      <w:szCs w:val="24"/>
      <w:lang w:val="en-US" w:eastAsia="en-US"/>
    </w:rPr>
  </w:style>
  <w:style w:type="character" w:customStyle="1" w:styleId="FooterChar">
    <w:name w:val="Footer Char"/>
    <w:link w:val="Footer"/>
    <w:uiPriority w:val="99"/>
    <w:rsid w:val="008F4DD9"/>
    <w:rPr>
      <w:sz w:val="24"/>
      <w:szCs w:val="24"/>
      <w:lang w:val="en-US" w:eastAsia="en-US"/>
    </w:rPr>
  </w:style>
  <w:style w:type="paragraph" w:styleId="ListParagraph">
    <w:name w:val="List Paragraph"/>
    <w:basedOn w:val="Normal"/>
    <w:uiPriority w:val="34"/>
    <w:qFormat/>
    <w:rsid w:val="009574A7"/>
    <w:pPr>
      <w:ind w:left="720"/>
    </w:pPr>
  </w:style>
  <w:style w:type="character" w:styleId="CommentReference">
    <w:name w:val="annotation reference"/>
    <w:semiHidden/>
    <w:unhideWhenUsed/>
    <w:rsid w:val="00BD7571"/>
    <w:rPr>
      <w:sz w:val="16"/>
      <w:szCs w:val="16"/>
    </w:rPr>
  </w:style>
  <w:style w:type="paragraph" w:styleId="CommentText">
    <w:name w:val="annotation text"/>
    <w:basedOn w:val="Normal"/>
    <w:link w:val="CommentTextChar"/>
    <w:uiPriority w:val="99"/>
    <w:semiHidden/>
    <w:unhideWhenUsed/>
    <w:rsid w:val="00BD7571"/>
    <w:rPr>
      <w:sz w:val="20"/>
      <w:szCs w:val="20"/>
    </w:rPr>
  </w:style>
  <w:style w:type="character" w:customStyle="1" w:styleId="CommentTextChar">
    <w:name w:val="Comment Text Char"/>
    <w:link w:val="CommentText"/>
    <w:uiPriority w:val="99"/>
    <w:semiHidden/>
    <w:rsid w:val="00BD7571"/>
    <w:rPr>
      <w:lang w:val="en-US" w:eastAsia="en-US"/>
    </w:rPr>
  </w:style>
  <w:style w:type="paragraph" w:styleId="CommentSubject">
    <w:name w:val="annotation subject"/>
    <w:basedOn w:val="CommentText"/>
    <w:next w:val="CommentText"/>
    <w:link w:val="CommentSubjectChar"/>
    <w:uiPriority w:val="99"/>
    <w:semiHidden/>
    <w:unhideWhenUsed/>
    <w:rsid w:val="00BD7571"/>
    <w:rPr>
      <w:b/>
      <w:bCs/>
    </w:rPr>
  </w:style>
  <w:style w:type="character" w:customStyle="1" w:styleId="CommentSubjectChar">
    <w:name w:val="Comment Subject Char"/>
    <w:link w:val="CommentSubject"/>
    <w:uiPriority w:val="99"/>
    <w:semiHidden/>
    <w:rsid w:val="00BD7571"/>
    <w:rPr>
      <w:b/>
      <w:bCs/>
      <w:lang w:val="en-US" w:eastAsia="en-US"/>
    </w:rPr>
  </w:style>
  <w:style w:type="paragraph" w:styleId="TOC2">
    <w:name w:val="toc 2"/>
    <w:basedOn w:val="Normal"/>
    <w:next w:val="Normal"/>
    <w:autoRedefine/>
    <w:uiPriority w:val="39"/>
    <w:unhideWhenUsed/>
    <w:rsid w:val="006A24B6"/>
    <w:pPr>
      <w:ind w:left="240"/>
    </w:pPr>
  </w:style>
  <w:style w:type="paragraph" w:styleId="FootnoteText">
    <w:name w:val="footnote text"/>
    <w:basedOn w:val="Normal"/>
    <w:link w:val="FootnoteTextChar"/>
    <w:uiPriority w:val="99"/>
    <w:semiHidden/>
    <w:unhideWhenUsed/>
    <w:rsid w:val="00386D7A"/>
    <w:pPr>
      <w:spacing w:after="200" w:line="276" w:lineRule="auto"/>
    </w:pPr>
    <w:rPr>
      <w:rFonts w:ascii="Calibri" w:eastAsia="Calibri" w:hAnsi="Calibri"/>
      <w:sz w:val="20"/>
      <w:szCs w:val="20"/>
      <w:lang w:val="en-GB" w:eastAsia="en-US"/>
    </w:rPr>
  </w:style>
  <w:style w:type="character" w:customStyle="1" w:styleId="FootnoteTextChar">
    <w:name w:val="Footnote Text Char"/>
    <w:link w:val="FootnoteText"/>
    <w:uiPriority w:val="99"/>
    <w:semiHidden/>
    <w:rsid w:val="00386D7A"/>
    <w:rPr>
      <w:rFonts w:ascii="Calibri" w:eastAsia="Calibri" w:hAnsi="Calibri"/>
      <w:lang w:eastAsia="en-US"/>
    </w:rPr>
  </w:style>
  <w:style w:type="character" w:styleId="FootnoteReference">
    <w:name w:val="footnote reference"/>
    <w:uiPriority w:val="99"/>
    <w:semiHidden/>
    <w:unhideWhenUsed/>
    <w:rsid w:val="00386D7A"/>
    <w:rPr>
      <w:vertAlign w:val="superscript"/>
    </w:rPr>
  </w:style>
  <w:style w:type="character" w:styleId="FollowedHyperlink">
    <w:name w:val="FollowedHyperlink"/>
    <w:uiPriority w:val="99"/>
    <w:semiHidden/>
    <w:unhideWhenUsed/>
    <w:rsid w:val="009F7D6B"/>
    <w:rPr>
      <w:color w:val="954F72"/>
      <w:u w:val="single"/>
    </w:rPr>
  </w:style>
  <w:style w:type="character" w:styleId="UnresolvedMention">
    <w:name w:val="Unresolved Mention"/>
    <w:uiPriority w:val="99"/>
    <w:semiHidden/>
    <w:unhideWhenUsed/>
    <w:rsid w:val="009F7D6B"/>
    <w:rPr>
      <w:color w:val="605E5C"/>
      <w:shd w:val="clear" w:color="auto" w:fill="E1DFDD"/>
    </w:rPr>
  </w:style>
  <w:style w:type="paragraph" w:styleId="Subtitle">
    <w:name w:val="Subtitle"/>
    <w:basedOn w:val="Normal"/>
    <w:link w:val="SubtitleChar"/>
    <w:qFormat/>
    <w:rsid w:val="00AE2891"/>
    <w:pPr>
      <w:jc w:val="center"/>
    </w:pPr>
    <w:rPr>
      <w:b/>
      <w:szCs w:val="20"/>
      <w:lang w:val="en-GB" w:eastAsia="en-US"/>
    </w:rPr>
  </w:style>
  <w:style w:type="character" w:customStyle="1" w:styleId="SubtitleChar">
    <w:name w:val="Subtitle Char"/>
    <w:link w:val="Subtitle"/>
    <w:rsid w:val="00AE2891"/>
    <w:rPr>
      <w:rFonts w:ascii="Arial" w:hAnsi="Arial"/>
      <w:b/>
      <w:sz w:val="24"/>
      <w:lang w:eastAsia="en-US"/>
    </w:rPr>
  </w:style>
  <w:style w:type="paragraph" w:styleId="Revision">
    <w:name w:val="Revision"/>
    <w:hidden/>
    <w:uiPriority w:val="99"/>
    <w:semiHidden/>
    <w:rsid w:val="00291CB4"/>
    <w:rPr>
      <w:rFonts w:ascii="Arial" w:hAnsi="Arial"/>
      <w:sz w:val="24"/>
      <w:szCs w:val="24"/>
      <w:lang w:val="en-US"/>
    </w:rPr>
  </w:style>
  <w:style w:type="character" w:customStyle="1" w:styleId="Heading2Char">
    <w:name w:val="Heading 2 Char"/>
    <w:link w:val="Heading2"/>
    <w:uiPriority w:val="9"/>
    <w:rsid w:val="007B044D"/>
    <w:rPr>
      <w:rFonts w:ascii="Arial" w:hAnsi="Arial"/>
      <w:b/>
      <w:sz w:val="22"/>
      <w:szCs w:val="22"/>
      <w:lang w:val="en-US" w:eastAsia="en-US"/>
    </w:rPr>
  </w:style>
  <w:style w:type="character" w:customStyle="1" w:styleId="normaltextrun">
    <w:name w:val="normaltextrun"/>
    <w:rsid w:val="0066365C"/>
  </w:style>
  <w:style w:type="character" w:customStyle="1" w:styleId="Heading3Char">
    <w:name w:val="Heading 3 Char"/>
    <w:link w:val="Heading3"/>
    <w:uiPriority w:val="9"/>
    <w:rsid w:val="008C6C5A"/>
    <w:rPr>
      <w:rFonts w:ascii="Arial" w:hAnsi="Arial"/>
      <w:b/>
      <w:sz w:val="22"/>
      <w:szCs w:val="22"/>
      <w:lang w:eastAsia="en-US"/>
    </w:rPr>
  </w:style>
  <w:style w:type="character" w:styleId="Strong">
    <w:name w:val="Strong"/>
    <w:basedOn w:val="DefaultParagraphFont"/>
    <w:uiPriority w:val="22"/>
    <w:qFormat/>
    <w:rsid w:val="001B23E5"/>
    <w:rPr>
      <w:b/>
      <w:bCs/>
    </w:rPr>
  </w:style>
  <w:style w:type="paragraph" w:customStyle="1" w:styleId="xmsonormal">
    <w:name w:val="x_msonormal"/>
    <w:basedOn w:val="Normal"/>
    <w:uiPriority w:val="99"/>
    <w:rsid w:val="004430B0"/>
    <w:rPr>
      <w:rFonts w:ascii="Calibri" w:eastAsiaTheme="minorHAnsi" w:hAnsi="Calibri" w:cs="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74536">
      <w:bodyDiv w:val="1"/>
      <w:marLeft w:val="0"/>
      <w:marRight w:val="0"/>
      <w:marTop w:val="0"/>
      <w:marBottom w:val="0"/>
      <w:divBdr>
        <w:top w:val="none" w:sz="0" w:space="0" w:color="auto"/>
        <w:left w:val="none" w:sz="0" w:space="0" w:color="auto"/>
        <w:bottom w:val="none" w:sz="0" w:space="0" w:color="auto"/>
        <w:right w:val="none" w:sz="0" w:space="0" w:color="auto"/>
      </w:divBdr>
    </w:div>
    <w:div w:id="297877725">
      <w:bodyDiv w:val="1"/>
      <w:marLeft w:val="0"/>
      <w:marRight w:val="0"/>
      <w:marTop w:val="0"/>
      <w:marBottom w:val="0"/>
      <w:divBdr>
        <w:top w:val="none" w:sz="0" w:space="0" w:color="auto"/>
        <w:left w:val="none" w:sz="0" w:space="0" w:color="auto"/>
        <w:bottom w:val="none" w:sz="0" w:space="0" w:color="auto"/>
        <w:right w:val="none" w:sz="0" w:space="0" w:color="auto"/>
      </w:divBdr>
    </w:div>
    <w:div w:id="392580086">
      <w:bodyDiv w:val="1"/>
      <w:marLeft w:val="0"/>
      <w:marRight w:val="0"/>
      <w:marTop w:val="0"/>
      <w:marBottom w:val="0"/>
      <w:divBdr>
        <w:top w:val="none" w:sz="0" w:space="0" w:color="auto"/>
        <w:left w:val="none" w:sz="0" w:space="0" w:color="auto"/>
        <w:bottom w:val="none" w:sz="0" w:space="0" w:color="auto"/>
        <w:right w:val="none" w:sz="0" w:space="0" w:color="auto"/>
      </w:divBdr>
    </w:div>
    <w:div w:id="431125345">
      <w:bodyDiv w:val="1"/>
      <w:marLeft w:val="0"/>
      <w:marRight w:val="0"/>
      <w:marTop w:val="0"/>
      <w:marBottom w:val="0"/>
      <w:divBdr>
        <w:top w:val="none" w:sz="0" w:space="0" w:color="auto"/>
        <w:left w:val="none" w:sz="0" w:space="0" w:color="auto"/>
        <w:bottom w:val="none" w:sz="0" w:space="0" w:color="auto"/>
        <w:right w:val="none" w:sz="0" w:space="0" w:color="auto"/>
      </w:divBdr>
    </w:div>
    <w:div w:id="473527737">
      <w:bodyDiv w:val="1"/>
      <w:marLeft w:val="0"/>
      <w:marRight w:val="0"/>
      <w:marTop w:val="0"/>
      <w:marBottom w:val="0"/>
      <w:divBdr>
        <w:top w:val="none" w:sz="0" w:space="0" w:color="auto"/>
        <w:left w:val="none" w:sz="0" w:space="0" w:color="auto"/>
        <w:bottom w:val="none" w:sz="0" w:space="0" w:color="auto"/>
        <w:right w:val="none" w:sz="0" w:space="0" w:color="auto"/>
      </w:divBdr>
    </w:div>
    <w:div w:id="557860821">
      <w:bodyDiv w:val="1"/>
      <w:marLeft w:val="0"/>
      <w:marRight w:val="0"/>
      <w:marTop w:val="0"/>
      <w:marBottom w:val="0"/>
      <w:divBdr>
        <w:top w:val="none" w:sz="0" w:space="0" w:color="auto"/>
        <w:left w:val="none" w:sz="0" w:space="0" w:color="auto"/>
        <w:bottom w:val="none" w:sz="0" w:space="0" w:color="auto"/>
        <w:right w:val="none" w:sz="0" w:space="0" w:color="auto"/>
      </w:divBdr>
    </w:div>
    <w:div w:id="581334191">
      <w:bodyDiv w:val="1"/>
      <w:marLeft w:val="0"/>
      <w:marRight w:val="0"/>
      <w:marTop w:val="0"/>
      <w:marBottom w:val="0"/>
      <w:divBdr>
        <w:top w:val="none" w:sz="0" w:space="0" w:color="auto"/>
        <w:left w:val="none" w:sz="0" w:space="0" w:color="auto"/>
        <w:bottom w:val="none" w:sz="0" w:space="0" w:color="auto"/>
        <w:right w:val="none" w:sz="0" w:space="0" w:color="auto"/>
      </w:divBdr>
      <w:divsChild>
        <w:div w:id="546723778">
          <w:marLeft w:val="547"/>
          <w:marRight w:val="0"/>
          <w:marTop w:val="0"/>
          <w:marBottom w:val="0"/>
          <w:divBdr>
            <w:top w:val="none" w:sz="0" w:space="0" w:color="auto"/>
            <w:left w:val="none" w:sz="0" w:space="0" w:color="auto"/>
            <w:bottom w:val="none" w:sz="0" w:space="0" w:color="auto"/>
            <w:right w:val="none" w:sz="0" w:space="0" w:color="auto"/>
          </w:divBdr>
        </w:div>
        <w:div w:id="1655066937">
          <w:marLeft w:val="1800"/>
          <w:marRight w:val="0"/>
          <w:marTop w:val="0"/>
          <w:marBottom w:val="0"/>
          <w:divBdr>
            <w:top w:val="none" w:sz="0" w:space="0" w:color="auto"/>
            <w:left w:val="none" w:sz="0" w:space="0" w:color="auto"/>
            <w:bottom w:val="none" w:sz="0" w:space="0" w:color="auto"/>
            <w:right w:val="none" w:sz="0" w:space="0" w:color="auto"/>
          </w:divBdr>
        </w:div>
        <w:div w:id="14037562">
          <w:marLeft w:val="1800"/>
          <w:marRight w:val="0"/>
          <w:marTop w:val="0"/>
          <w:marBottom w:val="0"/>
          <w:divBdr>
            <w:top w:val="none" w:sz="0" w:space="0" w:color="auto"/>
            <w:left w:val="none" w:sz="0" w:space="0" w:color="auto"/>
            <w:bottom w:val="none" w:sz="0" w:space="0" w:color="auto"/>
            <w:right w:val="none" w:sz="0" w:space="0" w:color="auto"/>
          </w:divBdr>
        </w:div>
        <w:div w:id="1760564880">
          <w:marLeft w:val="1800"/>
          <w:marRight w:val="0"/>
          <w:marTop w:val="0"/>
          <w:marBottom w:val="0"/>
          <w:divBdr>
            <w:top w:val="none" w:sz="0" w:space="0" w:color="auto"/>
            <w:left w:val="none" w:sz="0" w:space="0" w:color="auto"/>
            <w:bottom w:val="none" w:sz="0" w:space="0" w:color="auto"/>
            <w:right w:val="none" w:sz="0" w:space="0" w:color="auto"/>
          </w:divBdr>
        </w:div>
        <w:div w:id="570626767">
          <w:marLeft w:val="547"/>
          <w:marRight w:val="0"/>
          <w:marTop w:val="0"/>
          <w:marBottom w:val="0"/>
          <w:divBdr>
            <w:top w:val="none" w:sz="0" w:space="0" w:color="auto"/>
            <w:left w:val="none" w:sz="0" w:space="0" w:color="auto"/>
            <w:bottom w:val="none" w:sz="0" w:space="0" w:color="auto"/>
            <w:right w:val="none" w:sz="0" w:space="0" w:color="auto"/>
          </w:divBdr>
        </w:div>
        <w:div w:id="166943044">
          <w:marLeft w:val="547"/>
          <w:marRight w:val="0"/>
          <w:marTop w:val="0"/>
          <w:marBottom w:val="0"/>
          <w:divBdr>
            <w:top w:val="none" w:sz="0" w:space="0" w:color="auto"/>
            <w:left w:val="none" w:sz="0" w:space="0" w:color="auto"/>
            <w:bottom w:val="none" w:sz="0" w:space="0" w:color="auto"/>
            <w:right w:val="none" w:sz="0" w:space="0" w:color="auto"/>
          </w:divBdr>
        </w:div>
        <w:div w:id="516502036">
          <w:marLeft w:val="1800"/>
          <w:marRight w:val="0"/>
          <w:marTop w:val="0"/>
          <w:marBottom w:val="0"/>
          <w:divBdr>
            <w:top w:val="none" w:sz="0" w:space="0" w:color="auto"/>
            <w:left w:val="none" w:sz="0" w:space="0" w:color="auto"/>
            <w:bottom w:val="none" w:sz="0" w:space="0" w:color="auto"/>
            <w:right w:val="none" w:sz="0" w:space="0" w:color="auto"/>
          </w:divBdr>
        </w:div>
        <w:div w:id="1695840338">
          <w:marLeft w:val="1800"/>
          <w:marRight w:val="0"/>
          <w:marTop w:val="0"/>
          <w:marBottom w:val="0"/>
          <w:divBdr>
            <w:top w:val="none" w:sz="0" w:space="0" w:color="auto"/>
            <w:left w:val="none" w:sz="0" w:space="0" w:color="auto"/>
            <w:bottom w:val="none" w:sz="0" w:space="0" w:color="auto"/>
            <w:right w:val="none" w:sz="0" w:space="0" w:color="auto"/>
          </w:divBdr>
        </w:div>
        <w:div w:id="141778253">
          <w:marLeft w:val="1800"/>
          <w:marRight w:val="0"/>
          <w:marTop w:val="0"/>
          <w:marBottom w:val="0"/>
          <w:divBdr>
            <w:top w:val="none" w:sz="0" w:space="0" w:color="auto"/>
            <w:left w:val="none" w:sz="0" w:space="0" w:color="auto"/>
            <w:bottom w:val="none" w:sz="0" w:space="0" w:color="auto"/>
            <w:right w:val="none" w:sz="0" w:space="0" w:color="auto"/>
          </w:divBdr>
        </w:div>
        <w:div w:id="226649705">
          <w:marLeft w:val="1800"/>
          <w:marRight w:val="0"/>
          <w:marTop w:val="0"/>
          <w:marBottom w:val="0"/>
          <w:divBdr>
            <w:top w:val="none" w:sz="0" w:space="0" w:color="auto"/>
            <w:left w:val="none" w:sz="0" w:space="0" w:color="auto"/>
            <w:bottom w:val="none" w:sz="0" w:space="0" w:color="auto"/>
            <w:right w:val="none" w:sz="0" w:space="0" w:color="auto"/>
          </w:divBdr>
        </w:div>
        <w:div w:id="1197541923">
          <w:marLeft w:val="1800"/>
          <w:marRight w:val="0"/>
          <w:marTop w:val="0"/>
          <w:marBottom w:val="0"/>
          <w:divBdr>
            <w:top w:val="none" w:sz="0" w:space="0" w:color="auto"/>
            <w:left w:val="none" w:sz="0" w:space="0" w:color="auto"/>
            <w:bottom w:val="none" w:sz="0" w:space="0" w:color="auto"/>
            <w:right w:val="none" w:sz="0" w:space="0" w:color="auto"/>
          </w:divBdr>
        </w:div>
        <w:div w:id="1911426483">
          <w:marLeft w:val="1800"/>
          <w:marRight w:val="0"/>
          <w:marTop w:val="0"/>
          <w:marBottom w:val="0"/>
          <w:divBdr>
            <w:top w:val="none" w:sz="0" w:space="0" w:color="auto"/>
            <w:left w:val="none" w:sz="0" w:space="0" w:color="auto"/>
            <w:bottom w:val="none" w:sz="0" w:space="0" w:color="auto"/>
            <w:right w:val="none" w:sz="0" w:space="0" w:color="auto"/>
          </w:divBdr>
        </w:div>
        <w:div w:id="741025277">
          <w:marLeft w:val="1800"/>
          <w:marRight w:val="0"/>
          <w:marTop w:val="0"/>
          <w:marBottom w:val="0"/>
          <w:divBdr>
            <w:top w:val="none" w:sz="0" w:space="0" w:color="auto"/>
            <w:left w:val="none" w:sz="0" w:space="0" w:color="auto"/>
            <w:bottom w:val="none" w:sz="0" w:space="0" w:color="auto"/>
            <w:right w:val="none" w:sz="0" w:space="0" w:color="auto"/>
          </w:divBdr>
        </w:div>
        <w:div w:id="1059548017">
          <w:marLeft w:val="1800"/>
          <w:marRight w:val="0"/>
          <w:marTop w:val="0"/>
          <w:marBottom w:val="0"/>
          <w:divBdr>
            <w:top w:val="none" w:sz="0" w:space="0" w:color="auto"/>
            <w:left w:val="none" w:sz="0" w:space="0" w:color="auto"/>
            <w:bottom w:val="none" w:sz="0" w:space="0" w:color="auto"/>
            <w:right w:val="none" w:sz="0" w:space="0" w:color="auto"/>
          </w:divBdr>
        </w:div>
        <w:div w:id="171839004">
          <w:marLeft w:val="1800"/>
          <w:marRight w:val="0"/>
          <w:marTop w:val="0"/>
          <w:marBottom w:val="0"/>
          <w:divBdr>
            <w:top w:val="none" w:sz="0" w:space="0" w:color="auto"/>
            <w:left w:val="none" w:sz="0" w:space="0" w:color="auto"/>
            <w:bottom w:val="none" w:sz="0" w:space="0" w:color="auto"/>
            <w:right w:val="none" w:sz="0" w:space="0" w:color="auto"/>
          </w:divBdr>
        </w:div>
        <w:div w:id="270205779">
          <w:marLeft w:val="547"/>
          <w:marRight w:val="0"/>
          <w:marTop w:val="0"/>
          <w:marBottom w:val="0"/>
          <w:divBdr>
            <w:top w:val="none" w:sz="0" w:space="0" w:color="auto"/>
            <w:left w:val="none" w:sz="0" w:space="0" w:color="auto"/>
            <w:bottom w:val="none" w:sz="0" w:space="0" w:color="auto"/>
            <w:right w:val="none" w:sz="0" w:space="0" w:color="auto"/>
          </w:divBdr>
        </w:div>
      </w:divsChild>
    </w:div>
    <w:div w:id="1001661129">
      <w:bodyDiv w:val="1"/>
      <w:marLeft w:val="0"/>
      <w:marRight w:val="0"/>
      <w:marTop w:val="0"/>
      <w:marBottom w:val="0"/>
      <w:divBdr>
        <w:top w:val="none" w:sz="0" w:space="0" w:color="auto"/>
        <w:left w:val="none" w:sz="0" w:space="0" w:color="auto"/>
        <w:bottom w:val="none" w:sz="0" w:space="0" w:color="auto"/>
        <w:right w:val="none" w:sz="0" w:space="0" w:color="auto"/>
      </w:divBdr>
    </w:div>
    <w:div w:id="1048528938">
      <w:bodyDiv w:val="1"/>
      <w:marLeft w:val="0"/>
      <w:marRight w:val="0"/>
      <w:marTop w:val="0"/>
      <w:marBottom w:val="0"/>
      <w:divBdr>
        <w:top w:val="none" w:sz="0" w:space="0" w:color="auto"/>
        <w:left w:val="none" w:sz="0" w:space="0" w:color="auto"/>
        <w:bottom w:val="none" w:sz="0" w:space="0" w:color="auto"/>
        <w:right w:val="none" w:sz="0" w:space="0" w:color="auto"/>
      </w:divBdr>
    </w:div>
    <w:div w:id="1305812176">
      <w:bodyDiv w:val="1"/>
      <w:marLeft w:val="0"/>
      <w:marRight w:val="0"/>
      <w:marTop w:val="0"/>
      <w:marBottom w:val="0"/>
      <w:divBdr>
        <w:top w:val="none" w:sz="0" w:space="0" w:color="auto"/>
        <w:left w:val="none" w:sz="0" w:space="0" w:color="auto"/>
        <w:bottom w:val="none" w:sz="0" w:space="0" w:color="auto"/>
        <w:right w:val="none" w:sz="0" w:space="0" w:color="auto"/>
      </w:divBdr>
    </w:div>
    <w:div w:id="1659382015">
      <w:bodyDiv w:val="1"/>
      <w:marLeft w:val="0"/>
      <w:marRight w:val="0"/>
      <w:marTop w:val="0"/>
      <w:marBottom w:val="0"/>
      <w:divBdr>
        <w:top w:val="none" w:sz="0" w:space="0" w:color="auto"/>
        <w:left w:val="none" w:sz="0" w:space="0" w:color="auto"/>
        <w:bottom w:val="none" w:sz="0" w:space="0" w:color="auto"/>
        <w:right w:val="none" w:sz="0" w:space="0" w:color="auto"/>
      </w:divBdr>
    </w:div>
    <w:div w:id="1791125970">
      <w:bodyDiv w:val="1"/>
      <w:marLeft w:val="0"/>
      <w:marRight w:val="0"/>
      <w:marTop w:val="0"/>
      <w:marBottom w:val="0"/>
      <w:divBdr>
        <w:top w:val="none" w:sz="0" w:space="0" w:color="auto"/>
        <w:left w:val="none" w:sz="0" w:space="0" w:color="auto"/>
        <w:bottom w:val="none" w:sz="0" w:space="0" w:color="auto"/>
        <w:right w:val="none" w:sz="0" w:space="0" w:color="auto"/>
      </w:divBdr>
    </w:div>
    <w:div w:id="1921712354">
      <w:bodyDiv w:val="1"/>
      <w:marLeft w:val="0"/>
      <w:marRight w:val="0"/>
      <w:marTop w:val="0"/>
      <w:marBottom w:val="0"/>
      <w:divBdr>
        <w:top w:val="none" w:sz="0" w:space="0" w:color="auto"/>
        <w:left w:val="none" w:sz="0" w:space="0" w:color="auto"/>
        <w:bottom w:val="none" w:sz="0" w:space="0" w:color="auto"/>
        <w:right w:val="none" w:sz="0" w:space="0" w:color="auto"/>
      </w:divBdr>
    </w:div>
    <w:div w:id="1922636784">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937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resthub.walthamforest.gov.uk/services/hr/terms-and-conditions/code-conduct" TargetMode="External"/><Relationship Id="rId21" Type="http://schemas.openxmlformats.org/officeDocument/2006/relationships/hyperlink" Target="mailto:HR@walthamforest.gov.uk" TargetMode="External"/><Relationship Id="rId34" Type="http://schemas.openxmlformats.org/officeDocument/2006/relationships/header" Target="header2.xml"/><Relationship Id="rId42" Type="http://schemas.openxmlformats.org/officeDocument/2006/relationships/hyperlink" Target="http://www.lgbtconsortium.org.uk/" TargetMode="External"/><Relationship Id="rId47" Type="http://schemas.openxmlformats.org/officeDocument/2006/relationships/hyperlink" Target="https://www.gov.uk/guidance/lesbian-gay-bisexual-and-transgender-foreign-travel-advice" TargetMode="External"/><Relationship Id="rId50" Type="http://schemas.openxmlformats.org/officeDocument/2006/relationships/hyperlink" Target="http://www.gendernetwork.com" TargetMode="External"/><Relationship Id="rId55" Type="http://schemas.openxmlformats.org/officeDocument/2006/relationships/hyperlink" Target="https://nationallgbtpartnership.org/" TargetMode="External"/><Relationship Id="rId63" Type="http://schemas.openxmlformats.org/officeDocument/2006/relationships/hyperlink" Target="http://www.unison.org.uk/ou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esthub.walthamforest.gov.uk/services/hr/terms-and-conditions/equality-and-diversity" TargetMode="External"/><Relationship Id="rId29" Type="http://schemas.openxmlformats.org/officeDocument/2006/relationships/hyperlink" Target="https://foresthub.walthamforest.gov.uk/services/hr/restructure-and-reorganisation/redeployment" TargetMode="External"/><Relationship Id="rId11" Type="http://schemas.openxmlformats.org/officeDocument/2006/relationships/image" Target="media/image1.jpeg"/><Relationship Id="rId24" Type="http://schemas.openxmlformats.org/officeDocument/2006/relationships/hyperlink" Target="https://foresthub.walthamforest.gov.uk/services/hr/recruitment/hiring-permanent-staff/you-start/read-our-recruitment-and-selection-policy" TargetMode="External"/><Relationship Id="rId32" Type="http://schemas.openxmlformats.org/officeDocument/2006/relationships/hyperlink" Target="https://foresthub.walthamforest.gov.uk/services/data-protection" TargetMode="External"/><Relationship Id="rId37" Type="http://schemas.openxmlformats.org/officeDocument/2006/relationships/header" Target="header3.xml"/><Relationship Id="rId40" Type="http://schemas.openxmlformats.org/officeDocument/2006/relationships/hyperlink" Target="https://www.beaumontsociety.org.uk/" TargetMode="External"/><Relationship Id="rId45" Type="http://schemas.openxmlformats.org/officeDocument/2006/relationships/hyperlink" Target="https://www.equalityhumanrights.com/en" TargetMode="External"/><Relationship Id="rId53" Type="http://schemas.openxmlformats.org/officeDocument/2006/relationships/hyperlink" Target="http://www.gires.org.uk/" TargetMode="External"/><Relationship Id="rId58" Type="http://schemas.openxmlformats.org/officeDocument/2006/relationships/hyperlink" Target="http://www.sparkle.org.uk" TargetMode="External"/><Relationship Id="rId5" Type="http://schemas.openxmlformats.org/officeDocument/2006/relationships/numbering" Target="numbering.xml"/><Relationship Id="rId61" Type="http://schemas.openxmlformats.org/officeDocument/2006/relationships/hyperlink" Target="http://www.transgenderzone.com/" TargetMode="External"/><Relationship Id="rId19" Type="http://schemas.openxmlformats.org/officeDocument/2006/relationships/hyperlink" Target="https://foresthub.walthamforest.gov.uk/services/hr/terms-and-conditions/conduct-and-discipline-procedure" TargetMode="External"/><Relationship Id="rId14" Type="http://schemas.openxmlformats.org/officeDocument/2006/relationships/hyperlink" Target="https://foresthub.walthamforest.gov.uk/services/hr/health-and-wellbeing/sickness-procedure" TargetMode="External"/><Relationship Id="rId22" Type="http://schemas.openxmlformats.org/officeDocument/2006/relationships/hyperlink" Target="https://www.gov.uk/government/publications/providing-services-for-transgender-customers-a-guide" TargetMode="External"/><Relationship Id="rId27" Type="http://schemas.openxmlformats.org/officeDocument/2006/relationships/hyperlink" Target="https://foresthub.walthamforest.gov.uk/services/hr/terms-and-conditions/conduct-and-discipline-procedure" TargetMode="External"/><Relationship Id="rId30" Type="http://schemas.openxmlformats.org/officeDocument/2006/relationships/hyperlink" Target="http://www.gires.org.uk/e-learning/transgender-awareness-for-employers-service-providers/" TargetMode="External"/><Relationship Id="rId35" Type="http://schemas.openxmlformats.org/officeDocument/2006/relationships/footer" Target="footer1.xml"/><Relationship Id="rId43" Type="http://schemas.openxmlformats.org/officeDocument/2006/relationships/hyperlink" Target="http://www.depend.org.uk/" TargetMode="External"/><Relationship Id="rId48" Type="http://schemas.openxmlformats.org/officeDocument/2006/relationships/hyperlink" Target="https://sgforum.org.uk/" TargetMode="External"/><Relationship Id="rId56" Type="http://schemas.openxmlformats.org/officeDocument/2006/relationships/hyperlink" Target="http://www.nhs.uk/Livewell/Transhealth"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gendertrust.org.uk/" TargetMode="External"/><Relationship Id="rId3" Type="http://schemas.openxmlformats.org/officeDocument/2006/relationships/customXml" Target="../customXml/item3.xml"/><Relationship Id="rId12" Type="http://schemas.openxmlformats.org/officeDocument/2006/relationships/hyperlink" Target="https://foresthub.walthamforest.gov.uk/services/hr/terms-and-conditions/code-conduct" TargetMode="External"/><Relationship Id="rId17" Type="http://schemas.openxmlformats.org/officeDocument/2006/relationships/hyperlink" Target="https://foresthub.walthamforest.gov.uk/services/hr/pay-terms-and-conditions/fairness-work-procedure/introduction" TargetMode="External"/><Relationship Id="rId25" Type="http://schemas.openxmlformats.org/officeDocument/2006/relationships/hyperlink" Target="https://foresthub.walthamforest.gov.uk/services/hr/recruitment/disclosure-and-barring-service-dbs-checks" TargetMode="External"/><Relationship Id="rId33" Type="http://schemas.openxmlformats.org/officeDocument/2006/relationships/header" Target="header1.xml"/><Relationship Id="rId38" Type="http://schemas.openxmlformats.org/officeDocument/2006/relationships/hyperlink" Target="file://WFRGNAS01.lbwf.gov.uk/Shared2/LLL/CHRSSC/POLICY%20TEAM/Transgender%20Policy/August%202019/&#8226;%09https:/www.acas.org.uk/media/4908/Supporting-trans-employees-in-the-workplace/pdf/Supporting-trans-employees-in-the-workplace.pdf" TargetMode="External"/><Relationship Id="rId46" Type="http://schemas.openxmlformats.org/officeDocument/2006/relationships/hyperlink" Target="http://www.ecu.ac.uk/" TargetMode="External"/><Relationship Id="rId59" Type="http://schemas.openxmlformats.org/officeDocument/2006/relationships/hyperlink" Target="http://www.stonewall.org.uk/" TargetMode="External"/><Relationship Id="rId20" Type="http://schemas.openxmlformats.org/officeDocument/2006/relationships/hyperlink" Target="https://www.walthamforest.gov.uk/content/how-report-fraud" TargetMode="External"/><Relationship Id="rId41" Type="http://schemas.openxmlformats.org/officeDocument/2006/relationships/hyperlink" Target="http://www.chrysalis-gii.co.uk/" TargetMode="External"/><Relationship Id="rId54" Type="http://schemas.openxmlformats.org/officeDocument/2006/relationships/hyperlink" Target="http://www.mermaidsuk.org.uk/" TargetMode="External"/><Relationship Id="rId62" Type="http://schemas.openxmlformats.org/officeDocument/2006/relationships/hyperlink" Target="https://www.gov.uk/government/organisations/government-equalities-off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oresthub.walthamforest.gov.uk/services/hr/terms-and-conditions/equality-and-diversity" TargetMode="External"/><Relationship Id="rId23" Type="http://schemas.openxmlformats.org/officeDocument/2006/relationships/hyperlink" Target="https://www.gires.org.uk/e-learning/transgender-awareness-for-employers-service-providers/" TargetMode="External"/><Relationship Id="rId28" Type="http://schemas.openxmlformats.org/officeDocument/2006/relationships/hyperlink" Target="https://foresthub.walthamforest.gov.uk/services/hr/health-and-wellbeing/sickness-procedure" TargetMode="External"/><Relationship Id="rId36" Type="http://schemas.openxmlformats.org/officeDocument/2006/relationships/footer" Target="footer2.xml"/><Relationship Id="rId49" Type="http://schemas.openxmlformats.org/officeDocument/2006/relationships/hyperlink" Target="http://www.galop.org.uk/" TargetMode="External"/><Relationship Id="rId57" Type="http://schemas.openxmlformats.org/officeDocument/2006/relationships/hyperlink" Target="http://www.pfc.org.uk/" TargetMode="External"/><Relationship Id="rId10" Type="http://schemas.openxmlformats.org/officeDocument/2006/relationships/endnotes" Target="endnotes.xml"/><Relationship Id="rId31" Type="http://schemas.openxmlformats.org/officeDocument/2006/relationships/hyperlink" Target="https://foresthub.walthamforest.gov.uk/services/hr/terms-and-conditions/equality-and-diversity" TargetMode="External"/><Relationship Id="rId44" Type="http://schemas.openxmlformats.org/officeDocument/2006/relationships/hyperlink" Target="http://elop.org/" TargetMode="External"/><Relationship Id="rId52" Type="http://schemas.openxmlformats.org/officeDocument/2006/relationships/hyperlink" Target="http://www.genderedintelligence.co.uk" TargetMode="External"/><Relationship Id="rId60" Type="http://schemas.openxmlformats.org/officeDocument/2006/relationships/hyperlink" Target="http://www.transbareall.co.uk"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oresthub.walthamforest.gov.uk/services/hr/recruitment/disclosure-and-barring-service-dbs-checks" TargetMode="External"/><Relationship Id="rId18" Type="http://schemas.openxmlformats.org/officeDocument/2006/relationships/hyperlink" Target="https://foresthub.walthamforest.gov.uk/services/hr/pay-terms-and-conditions/fairness-work-procedure/introduction" TargetMode="External"/><Relationship Id="rId39" Type="http://schemas.openxmlformats.org/officeDocument/2006/relationships/hyperlink" Target="http://www.allabouttra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8002de4-d045-48ed-b102-597a9d10f707">
      <UserInfo>
        <DisplayName>Jane Blanche</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35F9-05BC-4644-ACF1-EE1081BA81B5}">
  <ds:schemaRefs>
    <ds:schemaRef ds:uri="http://schemas.microsoft.com/sharepoint/v3/contenttype/forms"/>
  </ds:schemaRefs>
</ds:datastoreItem>
</file>

<file path=customXml/itemProps2.xml><?xml version="1.0" encoding="utf-8"?>
<ds:datastoreItem xmlns:ds="http://schemas.openxmlformats.org/officeDocument/2006/customXml" ds:itemID="{31B0F3A4-CFCD-44D2-88F3-1F48F66ADCA8}">
  <ds:schemaRefs>
    <ds:schemaRef ds:uri="http://schemas.microsoft.com/office/2006/metadata/properties"/>
    <ds:schemaRef ds:uri="http://schemas.microsoft.com/office/infopath/2007/PartnerControls"/>
    <ds:schemaRef ds:uri="aee5e7a5-1877-4528-a90a-e50e9c55bd14"/>
  </ds:schemaRefs>
</ds:datastoreItem>
</file>

<file path=customXml/itemProps3.xml><?xml version="1.0" encoding="utf-8"?>
<ds:datastoreItem xmlns:ds="http://schemas.openxmlformats.org/officeDocument/2006/customXml" ds:itemID="{1C848759-9608-4363-BE7E-ACB51719F1B6}"/>
</file>

<file path=customXml/itemProps4.xml><?xml version="1.0" encoding="utf-8"?>
<ds:datastoreItem xmlns:ds="http://schemas.openxmlformats.org/officeDocument/2006/customXml" ds:itemID="{EAE925B0-3B15-4A4D-BC45-A38AEF3B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9692</Words>
  <Characters>55249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Market Supplements</vt:lpstr>
    </vt:vector>
  </TitlesOfParts>
  <Company>Television New Zealand</Company>
  <LinksUpToDate>false</LinksUpToDate>
  <CharactersWithSpaces>64812</CharactersWithSpaces>
  <SharedDoc>false</SharedDoc>
  <HLinks>
    <vt:vector size="486" baseType="variant">
      <vt:variant>
        <vt:i4>5898244</vt:i4>
      </vt:variant>
      <vt:variant>
        <vt:i4>321</vt:i4>
      </vt:variant>
      <vt:variant>
        <vt:i4>0</vt:i4>
      </vt:variant>
      <vt:variant>
        <vt:i4>5</vt:i4>
      </vt:variant>
      <vt:variant>
        <vt:lpwstr>http://www.unison.org.uk/out</vt:lpwstr>
      </vt:variant>
      <vt:variant>
        <vt:lpwstr/>
      </vt:variant>
      <vt:variant>
        <vt:i4>4259911</vt:i4>
      </vt:variant>
      <vt:variant>
        <vt:i4>318</vt:i4>
      </vt:variant>
      <vt:variant>
        <vt:i4>0</vt:i4>
      </vt:variant>
      <vt:variant>
        <vt:i4>5</vt:i4>
      </vt:variant>
      <vt:variant>
        <vt:lpwstr>https://www.gov.uk/government/organisations/government-equalities-office</vt:lpwstr>
      </vt:variant>
      <vt:variant>
        <vt:lpwstr/>
      </vt:variant>
      <vt:variant>
        <vt:i4>5177435</vt:i4>
      </vt:variant>
      <vt:variant>
        <vt:i4>315</vt:i4>
      </vt:variant>
      <vt:variant>
        <vt:i4>0</vt:i4>
      </vt:variant>
      <vt:variant>
        <vt:i4>5</vt:i4>
      </vt:variant>
      <vt:variant>
        <vt:lpwstr>http://www.transformationuk.com/</vt:lpwstr>
      </vt:variant>
      <vt:variant>
        <vt:lpwstr/>
      </vt:variant>
      <vt:variant>
        <vt:i4>3801205</vt:i4>
      </vt:variant>
      <vt:variant>
        <vt:i4>312</vt:i4>
      </vt:variant>
      <vt:variant>
        <vt:i4>0</vt:i4>
      </vt:variant>
      <vt:variant>
        <vt:i4>5</vt:i4>
      </vt:variant>
      <vt:variant>
        <vt:lpwstr>http://www.transgenderzone.com/</vt:lpwstr>
      </vt:variant>
      <vt:variant>
        <vt:lpwstr/>
      </vt:variant>
      <vt:variant>
        <vt:i4>4063351</vt:i4>
      </vt:variant>
      <vt:variant>
        <vt:i4>309</vt:i4>
      </vt:variant>
      <vt:variant>
        <vt:i4>0</vt:i4>
      </vt:variant>
      <vt:variant>
        <vt:i4>5</vt:i4>
      </vt:variant>
      <vt:variant>
        <vt:lpwstr>http://www.transbareall.co.uk/</vt:lpwstr>
      </vt:variant>
      <vt:variant>
        <vt:lpwstr/>
      </vt:variant>
      <vt:variant>
        <vt:i4>2359333</vt:i4>
      </vt:variant>
      <vt:variant>
        <vt:i4>306</vt:i4>
      </vt:variant>
      <vt:variant>
        <vt:i4>0</vt:i4>
      </vt:variant>
      <vt:variant>
        <vt:i4>5</vt:i4>
      </vt:variant>
      <vt:variant>
        <vt:lpwstr>http://www.tcrime.net/</vt:lpwstr>
      </vt:variant>
      <vt:variant>
        <vt:lpwstr/>
      </vt:variant>
      <vt:variant>
        <vt:i4>852040</vt:i4>
      </vt:variant>
      <vt:variant>
        <vt:i4>303</vt:i4>
      </vt:variant>
      <vt:variant>
        <vt:i4>0</vt:i4>
      </vt:variant>
      <vt:variant>
        <vt:i4>5</vt:i4>
      </vt:variant>
      <vt:variant>
        <vt:lpwstr>http://www.stonewall.org.uk/</vt:lpwstr>
      </vt:variant>
      <vt:variant>
        <vt:lpwstr/>
      </vt:variant>
      <vt:variant>
        <vt:i4>6619175</vt:i4>
      </vt:variant>
      <vt:variant>
        <vt:i4>300</vt:i4>
      </vt:variant>
      <vt:variant>
        <vt:i4>0</vt:i4>
      </vt:variant>
      <vt:variant>
        <vt:i4>5</vt:i4>
      </vt:variant>
      <vt:variant>
        <vt:lpwstr>http://www.sparkle.org.uk/</vt:lpwstr>
      </vt:variant>
      <vt:variant>
        <vt:lpwstr/>
      </vt:variant>
      <vt:variant>
        <vt:i4>6946863</vt:i4>
      </vt:variant>
      <vt:variant>
        <vt:i4>297</vt:i4>
      </vt:variant>
      <vt:variant>
        <vt:i4>0</vt:i4>
      </vt:variant>
      <vt:variant>
        <vt:i4>5</vt:i4>
      </vt:variant>
      <vt:variant>
        <vt:lpwstr>http://www.pfc.org.uk/</vt:lpwstr>
      </vt:variant>
      <vt:variant>
        <vt:lpwstr/>
      </vt:variant>
      <vt:variant>
        <vt:i4>7209010</vt:i4>
      </vt:variant>
      <vt:variant>
        <vt:i4>294</vt:i4>
      </vt:variant>
      <vt:variant>
        <vt:i4>0</vt:i4>
      </vt:variant>
      <vt:variant>
        <vt:i4>5</vt:i4>
      </vt:variant>
      <vt:variant>
        <vt:lpwstr>http://www.nhs.uk/Livewell/Transhealth</vt:lpwstr>
      </vt:variant>
      <vt:variant>
        <vt:lpwstr/>
      </vt:variant>
      <vt:variant>
        <vt:i4>1114196</vt:i4>
      </vt:variant>
      <vt:variant>
        <vt:i4>291</vt:i4>
      </vt:variant>
      <vt:variant>
        <vt:i4>0</vt:i4>
      </vt:variant>
      <vt:variant>
        <vt:i4>5</vt:i4>
      </vt:variant>
      <vt:variant>
        <vt:lpwstr>https://nationallgbtpartnership.org/</vt:lpwstr>
      </vt:variant>
      <vt:variant>
        <vt:lpwstr/>
      </vt:variant>
      <vt:variant>
        <vt:i4>6094932</vt:i4>
      </vt:variant>
      <vt:variant>
        <vt:i4>288</vt:i4>
      </vt:variant>
      <vt:variant>
        <vt:i4>0</vt:i4>
      </vt:variant>
      <vt:variant>
        <vt:i4>5</vt:i4>
      </vt:variant>
      <vt:variant>
        <vt:lpwstr>http://www.mermaidsuk.org.uk/</vt:lpwstr>
      </vt:variant>
      <vt:variant>
        <vt:lpwstr/>
      </vt:variant>
      <vt:variant>
        <vt:i4>2031685</vt:i4>
      </vt:variant>
      <vt:variant>
        <vt:i4>285</vt:i4>
      </vt:variant>
      <vt:variant>
        <vt:i4>0</vt:i4>
      </vt:variant>
      <vt:variant>
        <vt:i4>5</vt:i4>
      </vt:variant>
      <vt:variant>
        <vt:lpwstr>http://www.gires.org.uk/</vt:lpwstr>
      </vt:variant>
      <vt:variant>
        <vt:lpwstr/>
      </vt:variant>
      <vt:variant>
        <vt:i4>2556010</vt:i4>
      </vt:variant>
      <vt:variant>
        <vt:i4>282</vt:i4>
      </vt:variant>
      <vt:variant>
        <vt:i4>0</vt:i4>
      </vt:variant>
      <vt:variant>
        <vt:i4>5</vt:i4>
      </vt:variant>
      <vt:variant>
        <vt:lpwstr>http://www.genderedintelligence.co.uk/</vt:lpwstr>
      </vt:variant>
      <vt:variant>
        <vt:lpwstr/>
      </vt:variant>
      <vt:variant>
        <vt:i4>6291515</vt:i4>
      </vt:variant>
      <vt:variant>
        <vt:i4>279</vt:i4>
      </vt:variant>
      <vt:variant>
        <vt:i4>0</vt:i4>
      </vt:variant>
      <vt:variant>
        <vt:i4>5</vt:i4>
      </vt:variant>
      <vt:variant>
        <vt:lpwstr>http://www.gendertrust.org.uk/</vt:lpwstr>
      </vt:variant>
      <vt:variant>
        <vt:lpwstr/>
      </vt:variant>
      <vt:variant>
        <vt:i4>5701634</vt:i4>
      </vt:variant>
      <vt:variant>
        <vt:i4>276</vt:i4>
      </vt:variant>
      <vt:variant>
        <vt:i4>0</vt:i4>
      </vt:variant>
      <vt:variant>
        <vt:i4>5</vt:i4>
      </vt:variant>
      <vt:variant>
        <vt:lpwstr>http://www.gendernetwork.com/</vt:lpwstr>
      </vt:variant>
      <vt:variant>
        <vt:lpwstr/>
      </vt:variant>
      <vt:variant>
        <vt:i4>131143</vt:i4>
      </vt:variant>
      <vt:variant>
        <vt:i4>273</vt:i4>
      </vt:variant>
      <vt:variant>
        <vt:i4>0</vt:i4>
      </vt:variant>
      <vt:variant>
        <vt:i4>5</vt:i4>
      </vt:variant>
      <vt:variant>
        <vt:lpwstr>http://www.galop.org.uk/</vt:lpwstr>
      </vt:variant>
      <vt:variant>
        <vt:lpwstr/>
      </vt:variant>
      <vt:variant>
        <vt:i4>7667767</vt:i4>
      </vt:variant>
      <vt:variant>
        <vt:i4>270</vt:i4>
      </vt:variant>
      <vt:variant>
        <vt:i4>0</vt:i4>
      </vt:variant>
      <vt:variant>
        <vt:i4>5</vt:i4>
      </vt:variant>
      <vt:variant>
        <vt:lpwstr>https://sgforum.org.uk/</vt:lpwstr>
      </vt:variant>
      <vt:variant>
        <vt:lpwstr/>
      </vt:variant>
      <vt:variant>
        <vt:i4>1114188</vt:i4>
      </vt:variant>
      <vt:variant>
        <vt:i4>267</vt:i4>
      </vt:variant>
      <vt:variant>
        <vt:i4>0</vt:i4>
      </vt:variant>
      <vt:variant>
        <vt:i4>5</vt:i4>
      </vt:variant>
      <vt:variant>
        <vt:lpwstr>https://www.gov.uk/guidance/lesbian-gay-bisexualand-Transgender-foreign-travel-advice</vt:lpwstr>
      </vt:variant>
      <vt:variant>
        <vt:lpwstr/>
      </vt:variant>
      <vt:variant>
        <vt:i4>2031627</vt:i4>
      </vt:variant>
      <vt:variant>
        <vt:i4>264</vt:i4>
      </vt:variant>
      <vt:variant>
        <vt:i4>0</vt:i4>
      </vt:variant>
      <vt:variant>
        <vt:i4>5</vt:i4>
      </vt:variant>
      <vt:variant>
        <vt:lpwstr>http://www.ecu.ac.uk/</vt:lpwstr>
      </vt:variant>
      <vt:variant>
        <vt:lpwstr/>
      </vt:variant>
      <vt:variant>
        <vt:i4>5373981</vt:i4>
      </vt:variant>
      <vt:variant>
        <vt:i4>258</vt:i4>
      </vt:variant>
      <vt:variant>
        <vt:i4>0</vt:i4>
      </vt:variant>
      <vt:variant>
        <vt:i4>5</vt:i4>
      </vt:variant>
      <vt:variant>
        <vt:lpwstr>http://elop.org/</vt:lpwstr>
      </vt:variant>
      <vt:variant>
        <vt:lpwstr/>
      </vt:variant>
      <vt:variant>
        <vt:i4>4718665</vt:i4>
      </vt:variant>
      <vt:variant>
        <vt:i4>255</vt:i4>
      </vt:variant>
      <vt:variant>
        <vt:i4>0</vt:i4>
      </vt:variant>
      <vt:variant>
        <vt:i4>5</vt:i4>
      </vt:variant>
      <vt:variant>
        <vt:lpwstr>http://www.depend.org.uk/</vt:lpwstr>
      </vt:variant>
      <vt:variant>
        <vt:lpwstr/>
      </vt:variant>
      <vt:variant>
        <vt:i4>6226004</vt:i4>
      </vt:variant>
      <vt:variant>
        <vt:i4>252</vt:i4>
      </vt:variant>
      <vt:variant>
        <vt:i4>0</vt:i4>
      </vt:variant>
      <vt:variant>
        <vt:i4>5</vt:i4>
      </vt:variant>
      <vt:variant>
        <vt:lpwstr>http://www.lgbtconsortium.org.uk/</vt:lpwstr>
      </vt:variant>
      <vt:variant>
        <vt:lpwstr/>
      </vt:variant>
      <vt:variant>
        <vt:i4>8257593</vt:i4>
      </vt:variant>
      <vt:variant>
        <vt:i4>249</vt:i4>
      </vt:variant>
      <vt:variant>
        <vt:i4>0</vt:i4>
      </vt:variant>
      <vt:variant>
        <vt:i4>5</vt:i4>
      </vt:variant>
      <vt:variant>
        <vt:lpwstr>http://www.chrysalis-gii.co.uk/</vt:lpwstr>
      </vt:variant>
      <vt:variant>
        <vt:lpwstr/>
      </vt:variant>
      <vt:variant>
        <vt:i4>2687080</vt:i4>
      </vt:variant>
      <vt:variant>
        <vt:i4>246</vt:i4>
      </vt:variant>
      <vt:variant>
        <vt:i4>0</vt:i4>
      </vt:variant>
      <vt:variant>
        <vt:i4>5</vt:i4>
      </vt:variant>
      <vt:variant>
        <vt:lpwstr>http://www.beaumontsociety.com/</vt:lpwstr>
      </vt:variant>
      <vt:variant>
        <vt:lpwstr/>
      </vt:variant>
      <vt:variant>
        <vt:i4>327747</vt:i4>
      </vt:variant>
      <vt:variant>
        <vt:i4>243</vt:i4>
      </vt:variant>
      <vt:variant>
        <vt:i4>0</vt:i4>
      </vt:variant>
      <vt:variant>
        <vt:i4>5</vt:i4>
      </vt:variant>
      <vt:variant>
        <vt:lpwstr>http://www.allabouttrans.org.uk/</vt:lpwstr>
      </vt:variant>
      <vt:variant>
        <vt:lpwstr/>
      </vt:variant>
      <vt:variant>
        <vt:i4>5644301</vt:i4>
      </vt:variant>
      <vt:variant>
        <vt:i4>240</vt:i4>
      </vt:variant>
      <vt:variant>
        <vt:i4>0</vt:i4>
      </vt:variant>
      <vt:variant>
        <vt:i4>5</vt:i4>
      </vt:variant>
      <vt:variant>
        <vt:lpwstr>•%09https:/www.acas.org.uk/media/4908/Supporting-trans-employees-in-the-workplace/pdf/Supporting-trans-employees-in-the-workplace.pdf</vt:lpwstr>
      </vt:variant>
      <vt:variant>
        <vt:lpwstr/>
      </vt:variant>
      <vt:variant>
        <vt:i4>6291508</vt:i4>
      </vt:variant>
      <vt:variant>
        <vt:i4>237</vt:i4>
      </vt:variant>
      <vt:variant>
        <vt:i4>0</vt:i4>
      </vt:variant>
      <vt:variant>
        <vt:i4>5</vt:i4>
      </vt:variant>
      <vt:variant>
        <vt:lpwstr>https://foresthub.walthamforest.gov.uk/services/data-protection</vt:lpwstr>
      </vt:variant>
      <vt:variant>
        <vt:lpwstr/>
      </vt:variant>
      <vt:variant>
        <vt:i4>2031673</vt:i4>
      </vt:variant>
      <vt:variant>
        <vt:i4>234</vt:i4>
      </vt:variant>
      <vt:variant>
        <vt:i4>0</vt:i4>
      </vt:variant>
      <vt:variant>
        <vt:i4>5</vt:i4>
      </vt:variant>
      <vt:variant>
        <vt:lpwstr/>
      </vt:variant>
      <vt:variant>
        <vt:lpwstr>_Appendix_1:_Gender</vt:lpwstr>
      </vt:variant>
      <vt:variant>
        <vt:i4>3801130</vt:i4>
      </vt:variant>
      <vt:variant>
        <vt:i4>231</vt:i4>
      </vt:variant>
      <vt:variant>
        <vt:i4>0</vt:i4>
      </vt:variant>
      <vt:variant>
        <vt:i4>5</vt:i4>
      </vt:variant>
      <vt:variant>
        <vt:lpwstr>https://foresthub.walthamforest.gov.uk/services/hr/terms-and-conditions/equality-and-diversity</vt:lpwstr>
      </vt:variant>
      <vt:variant>
        <vt:lpwstr/>
      </vt:variant>
      <vt:variant>
        <vt:i4>6422610</vt:i4>
      </vt:variant>
      <vt:variant>
        <vt:i4>228</vt:i4>
      </vt:variant>
      <vt:variant>
        <vt:i4>0</vt:i4>
      </vt:variant>
      <vt:variant>
        <vt:i4>5</vt:i4>
      </vt:variant>
      <vt:variant>
        <vt:lpwstr/>
      </vt:variant>
      <vt:variant>
        <vt:lpwstr>_Appendix_3:_The</vt:lpwstr>
      </vt:variant>
      <vt:variant>
        <vt:i4>6619205</vt:i4>
      </vt:variant>
      <vt:variant>
        <vt:i4>225</vt:i4>
      </vt:variant>
      <vt:variant>
        <vt:i4>0</vt:i4>
      </vt:variant>
      <vt:variant>
        <vt:i4>5</vt:i4>
      </vt:variant>
      <vt:variant>
        <vt:lpwstr/>
      </vt:variant>
      <vt:variant>
        <vt:lpwstr>_Appendix_4:_Sources</vt:lpwstr>
      </vt:variant>
      <vt:variant>
        <vt:i4>5767232</vt:i4>
      </vt:variant>
      <vt:variant>
        <vt:i4>222</vt:i4>
      </vt:variant>
      <vt:variant>
        <vt:i4>0</vt:i4>
      </vt:variant>
      <vt:variant>
        <vt:i4>5</vt:i4>
      </vt:variant>
      <vt:variant>
        <vt:lpwstr>http://www.gires.org.uk/e-learning/transgender-awareness-for-employers-service-providers/</vt:lpwstr>
      </vt:variant>
      <vt:variant>
        <vt:lpwstr/>
      </vt:variant>
      <vt:variant>
        <vt:i4>2162749</vt:i4>
      </vt:variant>
      <vt:variant>
        <vt:i4>219</vt:i4>
      </vt:variant>
      <vt:variant>
        <vt:i4>0</vt:i4>
      </vt:variant>
      <vt:variant>
        <vt:i4>5</vt:i4>
      </vt:variant>
      <vt:variant>
        <vt:lpwstr>https://foresthub.walthamforest.gov.uk/services/hr/restructure-and-reorganisation/redeployment</vt:lpwstr>
      </vt:variant>
      <vt:variant>
        <vt:lpwstr/>
      </vt:variant>
      <vt:variant>
        <vt:i4>5570584</vt:i4>
      </vt:variant>
      <vt:variant>
        <vt:i4>216</vt:i4>
      </vt:variant>
      <vt:variant>
        <vt:i4>0</vt:i4>
      </vt:variant>
      <vt:variant>
        <vt:i4>5</vt:i4>
      </vt:variant>
      <vt:variant>
        <vt:lpwstr>https://foresthub.walthamforest.gov.uk/services/hr/terms-and-conditions/conduct-and-discipline-procedure</vt:lpwstr>
      </vt:variant>
      <vt:variant>
        <vt:lpwstr/>
      </vt:variant>
      <vt:variant>
        <vt:i4>4784133</vt:i4>
      </vt:variant>
      <vt:variant>
        <vt:i4>213</vt:i4>
      </vt:variant>
      <vt:variant>
        <vt:i4>0</vt:i4>
      </vt:variant>
      <vt:variant>
        <vt:i4>5</vt:i4>
      </vt:variant>
      <vt:variant>
        <vt:lpwstr>https://foresthub.walthamforest.gov.uk/services/hr/terms-and-conditions/code-conduct</vt:lpwstr>
      </vt:variant>
      <vt:variant>
        <vt:lpwstr/>
      </vt:variant>
      <vt:variant>
        <vt:i4>6422610</vt:i4>
      </vt:variant>
      <vt:variant>
        <vt:i4>210</vt:i4>
      </vt:variant>
      <vt:variant>
        <vt:i4>0</vt:i4>
      </vt:variant>
      <vt:variant>
        <vt:i4>5</vt:i4>
      </vt:variant>
      <vt:variant>
        <vt:lpwstr/>
      </vt:variant>
      <vt:variant>
        <vt:lpwstr>_Appendix_3:_The</vt:lpwstr>
      </vt:variant>
      <vt:variant>
        <vt:i4>6750286</vt:i4>
      </vt:variant>
      <vt:variant>
        <vt:i4>207</vt:i4>
      </vt:variant>
      <vt:variant>
        <vt:i4>0</vt:i4>
      </vt:variant>
      <vt:variant>
        <vt:i4>5</vt:i4>
      </vt:variant>
      <vt:variant>
        <vt:lpwstr>mailto:sensitive@dbs.gsi.gov.uk</vt:lpwstr>
      </vt:variant>
      <vt:variant>
        <vt:lpwstr/>
      </vt:variant>
      <vt:variant>
        <vt:i4>4456542</vt:i4>
      </vt:variant>
      <vt:variant>
        <vt:i4>204</vt:i4>
      </vt:variant>
      <vt:variant>
        <vt:i4>0</vt:i4>
      </vt:variant>
      <vt:variant>
        <vt:i4>5</vt:i4>
      </vt:variant>
      <vt:variant>
        <vt:lpwstr>https://foresthub.walthamforest.gov.uk/services/hr/recruitment/hiring-permanent-staff/you-start/read-our-recruitment-and-selection-policy</vt:lpwstr>
      </vt:variant>
      <vt:variant>
        <vt:lpwstr/>
      </vt:variant>
      <vt:variant>
        <vt:i4>6619205</vt:i4>
      </vt:variant>
      <vt:variant>
        <vt:i4>201</vt:i4>
      </vt:variant>
      <vt:variant>
        <vt:i4>0</vt:i4>
      </vt:variant>
      <vt:variant>
        <vt:i4>5</vt:i4>
      </vt:variant>
      <vt:variant>
        <vt:lpwstr/>
      </vt:variant>
      <vt:variant>
        <vt:lpwstr>_Appendix_4:_Sources</vt:lpwstr>
      </vt:variant>
      <vt:variant>
        <vt:i4>7798835</vt:i4>
      </vt:variant>
      <vt:variant>
        <vt:i4>198</vt:i4>
      </vt:variant>
      <vt:variant>
        <vt:i4>0</vt:i4>
      </vt:variant>
      <vt:variant>
        <vt:i4>5</vt:i4>
      </vt:variant>
      <vt:variant>
        <vt:lpwstr>https://www.gires.org.uk/e-learning/transgender-awareness-for-employers-service-providers/</vt:lpwstr>
      </vt:variant>
      <vt:variant>
        <vt:lpwstr/>
      </vt:variant>
      <vt:variant>
        <vt:i4>7798891</vt:i4>
      </vt:variant>
      <vt:variant>
        <vt:i4>195</vt:i4>
      </vt:variant>
      <vt:variant>
        <vt:i4>0</vt:i4>
      </vt:variant>
      <vt:variant>
        <vt:i4>5</vt:i4>
      </vt:variant>
      <vt:variant>
        <vt:lpwstr>https://www.gov.uk/government/publications/providing-services-for-transgender-customers-a-guide</vt:lpwstr>
      </vt:variant>
      <vt:variant>
        <vt:lpwstr/>
      </vt:variant>
      <vt:variant>
        <vt:i4>6422610</vt:i4>
      </vt:variant>
      <vt:variant>
        <vt:i4>192</vt:i4>
      </vt:variant>
      <vt:variant>
        <vt:i4>0</vt:i4>
      </vt:variant>
      <vt:variant>
        <vt:i4>5</vt:i4>
      </vt:variant>
      <vt:variant>
        <vt:lpwstr/>
      </vt:variant>
      <vt:variant>
        <vt:lpwstr>_Appendix_3:_The</vt:lpwstr>
      </vt:variant>
      <vt:variant>
        <vt:i4>2031674</vt:i4>
      </vt:variant>
      <vt:variant>
        <vt:i4>189</vt:i4>
      </vt:variant>
      <vt:variant>
        <vt:i4>0</vt:i4>
      </vt:variant>
      <vt:variant>
        <vt:i4>5</vt:i4>
      </vt:variant>
      <vt:variant>
        <vt:lpwstr/>
      </vt:variant>
      <vt:variant>
        <vt:lpwstr>_Appendix_2:_Gender</vt:lpwstr>
      </vt:variant>
      <vt:variant>
        <vt:i4>6422608</vt:i4>
      </vt:variant>
      <vt:variant>
        <vt:i4>186</vt:i4>
      </vt:variant>
      <vt:variant>
        <vt:i4>0</vt:i4>
      </vt:variant>
      <vt:variant>
        <vt:i4>5</vt:i4>
      </vt:variant>
      <vt:variant>
        <vt:lpwstr/>
      </vt:variant>
      <vt:variant>
        <vt:lpwstr>_Appendix_1:_The</vt:lpwstr>
      </vt:variant>
      <vt:variant>
        <vt:i4>2031673</vt:i4>
      </vt:variant>
      <vt:variant>
        <vt:i4>183</vt:i4>
      </vt:variant>
      <vt:variant>
        <vt:i4>0</vt:i4>
      </vt:variant>
      <vt:variant>
        <vt:i4>5</vt:i4>
      </vt:variant>
      <vt:variant>
        <vt:lpwstr/>
      </vt:variant>
      <vt:variant>
        <vt:lpwstr>_Appendix_1:_Gender</vt:lpwstr>
      </vt:variant>
      <vt:variant>
        <vt:i4>6094908</vt:i4>
      </vt:variant>
      <vt:variant>
        <vt:i4>180</vt:i4>
      </vt:variant>
      <vt:variant>
        <vt:i4>0</vt:i4>
      </vt:variant>
      <vt:variant>
        <vt:i4>5</vt:i4>
      </vt:variant>
      <vt:variant>
        <vt:lpwstr>mailto:HR@walthamforest.gov.uk</vt:lpwstr>
      </vt:variant>
      <vt:variant>
        <vt:lpwstr/>
      </vt:variant>
      <vt:variant>
        <vt:i4>393226</vt:i4>
      </vt:variant>
      <vt:variant>
        <vt:i4>177</vt:i4>
      </vt:variant>
      <vt:variant>
        <vt:i4>0</vt:i4>
      </vt:variant>
      <vt:variant>
        <vt:i4>5</vt:i4>
      </vt:variant>
      <vt:variant>
        <vt:lpwstr>https://www.walthamforest.gov.uk/content/how-report-fraud</vt:lpwstr>
      </vt:variant>
      <vt:variant>
        <vt:lpwstr/>
      </vt:variant>
      <vt:variant>
        <vt:i4>5570584</vt:i4>
      </vt:variant>
      <vt:variant>
        <vt:i4>174</vt:i4>
      </vt:variant>
      <vt:variant>
        <vt:i4>0</vt:i4>
      </vt:variant>
      <vt:variant>
        <vt:i4>5</vt:i4>
      </vt:variant>
      <vt:variant>
        <vt:lpwstr>https://foresthub.walthamforest.gov.uk/services/hr/terms-and-conditions/conduct-and-discipline-procedure</vt:lpwstr>
      </vt:variant>
      <vt:variant>
        <vt:lpwstr/>
      </vt:variant>
      <vt:variant>
        <vt:i4>6225990</vt:i4>
      </vt:variant>
      <vt:variant>
        <vt:i4>171</vt:i4>
      </vt:variant>
      <vt:variant>
        <vt:i4>0</vt:i4>
      </vt:variant>
      <vt:variant>
        <vt:i4>5</vt:i4>
      </vt:variant>
      <vt:variant>
        <vt:lpwstr>https://foresthub.walthamforest.gov.uk/services/hr/pay-terms-and-conditions/fairness-work-procedure/introduction</vt:lpwstr>
      </vt:variant>
      <vt:variant>
        <vt:lpwstr/>
      </vt:variant>
      <vt:variant>
        <vt:i4>6225990</vt:i4>
      </vt:variant>
      <vt:variant>
        <vt:i4>168</vt:i4>
      </vt:variant>
      <vt:variant>
        <vt:i4>0</vt:i4>
      </vt:variant>
      <vt:variant>
        <vt:i4>5</vt:i4>
      </vt:variant>
      <vt:variant>
        <vt:lpwstr>https://foresthub.walthamforest.gov.uk/services/hr/pay-terms-and-conditions/fairness-work-procedure/introduction</vt:lpwstr>
      </vt:variant>
      <vt:variant>
        <vt:lpwstr/>
      </vt:variant>
      <vt:variant>
        <vt:i4>3801130</vt:i4>
      </vt:variant>
      <vt:variant>
        <vt:i4>165</vt:i4>
      </vt:variant>
      <vt:variant>
        <vt:i4>0</vt:i4>
      </vt:variant>
      <vt:variant>
        <vt:i4>5</vt:i4>
      </vt:variant>
      <vt:variant>
        <vt:lpwstr>https://foresthub.walthamforest.gov.uk/services/hr/terms-and-conditions/equality-and-diversity</vt:lpwstr>
      </vt:variant>
      <vt:variant>
        <vt:lpwstr/>
      </vt:variant>
      <vt:variant>
        <vt:i4>3801130</vt:i4>
      </vt:variant>
      <vt:variant>
        <vt:i4>162</vt:i4>
      </vt:variant>
      <vt:variant>
        <vt:i4>0</vt:i4>
      </vt:variant>
      <vt:variant>
        <vt:i4>5</vt:i4>
      </vt:variant>
      <vt:variant>
        <vt:lpwstr>https://foresthub.walthamforest.gov.uk/services/hr/terms-and-conditions/equality-and-diversity</vt:lpwstr>
      </vt:variant>
      <vt:variant>
        <vt:lpwstr/>
      </vt:variant>
      <vt:variant>
        <vt:i4>4784133</vt:i4>
      </vt:variant>
      <vt:variant>
        <vt:i4>159</vt:i4>
      </vt:variant>
      <vt:variant>
        <vt:i4>0</vt:i4>
      </vt:variant>
      <vt:variant>
        <vt:i4>5</vt:i4>
      </vt:variant>
      <vt:variant>
        <vt:lpwstr>https://foresthub.walthamforest.gov.uk/services/hr/terms-and-conditions/code-conduct</vt:lpwstr>
      </vt:variant>
      <vt:variant>
        <vt:lpwstr/>
      </vt:variant>
      <vt:variant>
        <vt:i4>1638455</vt:i4>
      </vt:variant>
      <vt:variant>
        <vt:i4>152</vt:i4>
      </vt:variant>
      <vt:variant>
        <vt:i4>0</vt:i4>
      </vt:variant>
      <vt:variant>
        <vt:i4>5</vt:i4>
      </vt:variant>
      <vt:variant>
        <vt:lpwstr/>
      </vt:variant>
      <vt:variant>
        <vt:lpwstr>_Toc18404264</vt:lpwstr>
      </vt:variant>
      <vt:variant>
        <vt:i4>1966135</vt:i4>
      </vt:variant>
      <vt:variant>
        <vt:i4>146</vt:i4>
      </vt:variant>
      <vt:variant>
        <vt:i4>0</vt:i4>
      </vt:variant>
      <vt:variant>
        <vt:i4>5</vt:i4>
      </vt:variant>
      <vt:variant>
        <vt:lpwstr/>
      </vt:variant>
      <vt:variant>
        <vt:lpwstr>_Toc18404263</vt:lpwstr>
      </vt:variant>
      <vt:variant>
        <vt:i4>2031671</vt:i4>
      </vt:variant>
      <vt:variant>
        <vt:i4>140</vt:i4>
      </vt:variant>
      <vt:variant>
        <vt:i4>0</vt:i4>
      </vt:variant>
      <vt:variant>
        <vt:i4>5</vt:i4>
      </vt:variant>
      <vt:variant>
        <vt:lpwstr/>
      </vt:variant>
      <vt:variant>
        <vt:lpwstr>_Toc18404262</vt:lpwstr>
      </vt:variant>
      <vt:variant>
        <vt:i4>1835063</vt:i4>
      </vt:variant>
      <vt:variant>
        <vt:i4>134</vt:i4>
      </vt:variant>
      <vt:variant>
        <vt:i4>0</vt:i4>
      </vt:variant>
      <vt:variant>
        <vt:i4>5</vt:i4>
      </vt:variant>
      <vt:variant>
        <vt:lpwstr/>
      </vt:variant>
      <vt:variant>
        <vt:lpwstr>_Toc18404261</vt:lpwstr>
      </vt:variant>
      <vt:variant>
        <vt:i4>1900599</vt:i4>
      </vt:variant>
      <vt:variant>
        <vt:i4>128</vt:i4>
      </vt:variant>
      <vt:variant>
        <vt:i4>0</vt:i4>
      </vt:variant>
      <vt:variant>
        <vt:i4>5</vt:i4>
      </vt:variant>
      <vt:variant>
        <vt:lpwstr/>
      </vt:variant>
      <vt:variant>
        <vt:lpwstr>_Toc18404260</vt:lpwstr>
      </vt:variant>
      <vt:variant>
        <vt:i4>1310772</vt:i4>
      </vt:variant>
      <vt:variant>
        <vt:i4>122</vt:i4>
      </vt:variant>
      <vt:variant>
        <vt:i4>0</vt:i4>
      </vt:variant>
      <vt:variant>
        <vt:i4>5</vt:i4>
      </vt:variant>
      <vt:variant>
        <vt:lpwstr/>
      </vt:variant>
      <vt:variant>
        <vt:lpwstr>_Toc18404259</vt:lpwstr>
      </vt:variant>
      <vt:variant>
        <vt:i4>1376308</vt:i4>
      </vt:variant>
      <vt:variant>
        <vt:i4>116</vt:i4>
      </vt:variant>
      <vt:variant>
        <vt:i4>0</vt:i4>
      </vt:variant>
      <vt:variant>
        <vt:i4>5</vt:i4>
      </vt:variant>
      <vt:variant>
        <vt:lpwstr/>
      </vt:variant>
      <vt:variant>
        <vt:lpwstr>_Toc18404258</vt:lpwstr>
      </vt:variant>
      <vt:variant>
        <vt:i4>1703988</vt:i4>
      </vt:variant>
      <vt:variant>
        <vt:i4>110</vt:i4>
      </vt:variant>
      <vt:variant>
        <vt:i4>0</vt:i4>
      </vt:variant>
      <vt:variant>
        <vt:i4>5</vt:i4>
      </vt:variant>
      <vt:variant>
        <vt:lpwstr/>
      </vt:variant>
      <vt:variant>
        <vt:lpwstr>_Toc18404257</vt:lpwstr>
      </vt:variant>
      <vt:variant>
        <vt:i4>1769524</vt:i4>
      </vt:variant>
      <vt:variant>
        <vt:i4>104</vt:i4>
      </vt:variant>
      <vt:variant>
        <vt:i4>0</vt:i4>
      </vt:variant>
      <vt:variant>
        <vt:i4>5</vt:i4>
      </vt:variant>
      <vt:variant>
        <vt:lpwstr/>
      </vt:variant>
      <vt:variant>
        <vt:lpwstr>_Toc18404256</vt:lpwstr>
      </vt:variant>
      <vt:variant>
        <vt:i4>1572916</vt:i4>
      </vt:variant>
      <vt:variant>
        <vt:i4>98</vt:i4>
      </vt:variant>
      <vt:variant>
        <vt:i4>0</vt:i4>
      </vt:variant>
      <vt:variant>
        <vt:i4>5</vt:i4>
      </vt:variant>
      <vt:variant>
        <vt:lpwstr/>
      </vt:variant>
      <vt:variant>
        <vt:lpwstr>_Toc18404255</vt:lpwstr>
      </vt:variant>
      <vt:variant>
        <vt:i4>1638452</vt:i4>
      </vt:variant>
      <vt:variant>
        <vt:i4>92</vt:i4>
      </vt:variant>
      <vt:variant>
        <vt:i4>0</vt:i4>
      </vt:variant>
      <vt:variant>
        <vt:i4>5</vt:i4>
      </vt:variant>
      <vt:variant>
        <vt:lpwstr/>
      </vt:variant>
      <vt:variant>
        <vt:lpwstr>_Toc18404254</vt:lpwstr>
      </vt:variant>
      <vt:variant>
        <vt:i4>1966132</vt:i4>
      </vt:variant>
      <vt:variant>
        <vt:i4>86</vt:i4>
      </vt:variant>
      <vt:variant>
        <vt:i4>0</vt:i4>
      </vt:variant>
      <vt:variant>
        <vt:i4>5</vt:i4>
      </vt:variant>
      <vt:variant>
        <vt:lpwstr/>
      </vt:variant>
      <vt:variant>
        <vt:lpwstr>_Toc18404253</vt:lpwstr>
      </vt:variant>
      <vt:variant>
        <vt:i4>2031668</vt:i4>
      </vt:variant>
      <vt:variant>
        <vt:i4>80</vt:i4>
      </vt:variant>
      <vt:variant>
        <vt:i4>0</vt:i4>
      </vt:variant>
      <vt:variant>
        <vt:i4>5</vt:i4>
      </vt:variant>
      <vt:variant>
        <vt:lpwstr/>
      </vt:variant>
      <vt:variant>
        <vt:lpwstr>_Toc18404252</vt:lpwstr>
      </vt:variant>
      <vt:variant>
        <vt:i4>1835060</vt:i4>
      </vt:variant>
      <vt:variant>
        <vt:i4>74</vt:i4>
      </vt:variant>
      <vt:variant>
        <vt:i4>0</vt:i4>
      </vt:variant>
      <vt:variant>
        <vt:i4>5</vt:i4>
      </vt:variant>
      <vt:variant>
        <vt:lpwstr/>
      </vt:variant>
      <vt:variant>
        <vt:lpwstr>_Toc18404251</vt:lpwstr>
      </vt:variant>
      <vt:variant>
        <vt:i4>1900596</vt:i4>
      </vt:variant>
      <vt:variant>
        <vt:i4>68</vt:i4>
      </vt:variant>
      <vt:variant>
        <vt:i4>0</vt:i4>
      </vt:variant>
      <vt:variant>
        <vt:i4>5</vt:i4>
      </vt:variant>
      <vt:variant>
        <vt:lpwstr/>
      </vt:variant>
      <vt:variant>
        <vt:lpwstr>_Toc18404250</vt:lpwstr>
      </vt:variant>
      <vt:variant>
        <vt:i4>1310773</vt:i4>
      </vt:variant>
      <vt:variant>
        <vt:i4>62</vt:i4>
      </vt:variant>
      <vt:variant>
        <vt:i4>0</vt:i4>
      </vt:variant>
      <vt:variant>
        <vt:i4>5</vt:i4>
      </vt:variant>
      <vt:variant>
        <vt:lpwstr/>
      </vt:variant>
      <vt:variant>
        <vt:lpwstr>_Toc18404249</vt:lpwstr>
      </vt:variant>
      <vt:variant>
        <vt:i4>1376309</vt:i4>
      </vt:variant>
      <vt:variant>
        <vt:i4>56</vt:i4>
      </vt:variant>
      <vt:variant>
        <vt:i4>0</vt:i4>
      </vt:variant>
      <vt:variant>
        <vt:i4>5</vt:i4>
      </vt:variant>
      <vt:variant>
        <vt:lpwstr/>
      </vt:variant>
      <vt:variant>
        <vt:lpwstr>_Toc18404248</vt:lpwstr>
      </vt:variant>
      <vt:variant>
        <vt:i4>1703989</vt:i4>
      </vt:variant>
      <vt:variant>
        <vt:i4>50</vt:i4>
      </vt:variant>
      <vt:variant>
        <vt:i4>0</vt:i4>
      </vt:variant>
      <vt:variant>
        <vt:i4>5</vt:i4>
      </vt:variant>
      <vt:variant>
        <vt:lpwstr/>
      </vt:variant>
      <vt:variant>
        <vt:lpwstr>_Toc18404247</vt:lpwstr>
      </vt:variant>
      <vt:variant>
        <vt:i4>1769525</vt:i4>
      </vt:variant>
      <vt:variant>
        <vt:i4>44</vt:i4>
      </vt:variant>
      <vt:variant>
        <vt:i4>0</vt:i4>
      </vt:variant>
      <vt:variant>
        <vt:i4>5</vt:i4>
      </vt:variant>
      <vt:variant>
        <vt:lpwstr/>
      </vt:variant>
      <vt:variant>
        <vt:lpwstr>_Toc18404246</vt:lpwstr>
      </vt:variant>
      <vt:variant>
        <vt:i4>1572917</vt:i4>
      </vt:variant>
      <vt:variant>
        <vt:i4>38</vt:i4>
      </vt:variant>
      <vt:variant>
        <vt:i4>0</vt:i4>
      </vt:variant>
      <vt:variant>
        <vt:i4>5</vt:i4>
      </vt:variant>
      <vt:variant>
        <vt:lpwstr/>
      </vt:variant>
      <vt:variant>
        <vt:lpwstr>_Toc18404245</vt:lpwstr>
      </vt:variant>
      <vt:variant>
        <vt:i4>1638453</vt:i4>
      </vt:variant>
      <vt:variant>
        <vt:i4>32</vt:i4>
      </vt:variant>
      <vt:variant>
        <vt:i4>0</vt:i4>
      </vt:variant>
      <vt:variant>
        <vt:i4>5</vt:i4>
      </vt:variant>
      <vt:variant>
        <vt:lpwstr/>
      </vt:variant>
      <vt:variant>
        <vt:lpwstr>_Toc18404244</vt:lpwstr>
      </vt:variant>
      <vt:variant>
        <vt:i4>1966133</vt:i4>
      </vt:variant>
      <vt:variant>
        <vt:i4>26</vt:i4>
      </vt:variant>
      <vt:variant>
        <vt:i4>0</vt:i4>
      </vt:variant>
      <vt:variant>
        <vt:i4>5</vt:i4>
      </vt:variant>
      <vt:variant>
        <vt:lpwstr/>
      </vt:variant>
      <vt:variant>
        <vt:lpwstr>_Toc18404243</vt:lpwstr>
      </vt:variant>
      <vt:variant>
        <vt:i4>2031669</vt:i4>
      </vt:variant>
      <vt:variant>
        <vt:i4>20</vt:i4>
      </vt:variant>
      <vt:variant>
        <vt:i4>0</vt:i4>
      </vt:variant>
      <vt:variant>
        <vt:i4>5</vt:i4>
      </vt:variant>
      <vt:variant>
        <vt:lpwstr/>
      </vt:variant>
      <vt:variant>
        <vt:lpwstr>_Toc18404242</vt:lpwstr>
      </vt:variant>
      <vt:variant>
        <vt:i4>1835061</vt:i4>
      </vt:variant>
      <vt:variant>
        <vt:i4>14</vt:i4>
      </vt:variant>
      <vt:variant>
        <vt:i4>0</vt:i4>
      </vt:variant>
      <vt:variant>
        <vt:i4>5</vt:i4>
      </vt:variant>
      <vt:variant>
        <vt:lpwstr/>
      </vt:variant>
      <vt:variant>
        <vt:lpwstr>_Toc18404241</vt:lpwstr>
      </vt:variant>
      <vt:variant>
        <vt:i4>1900597</vt:i4>
      </vt:variant>
      <vt:variant>
        <vt:i4>8</vt:i4>
      </vt:variant>
      <vt:variant>
        <vt:i4>0</vt:i4>
      </vt:variant>
      <vt:variant>
        <vt:i4>5</vt:i4>
      </vt:variant>
      <vt:variant>
        <vt:lpwstr/>
      </vt:variant>
      <vt:variant>
        <vt:lpwstr>_Toc18404240</vt:lpwstr>
      </vt:variant>
      <vt:variant>
        <vt:i4>1310770</vt:i4>
      </vt:variant>
      <vt:variant>
        <vt:i4>2</vt:i4>
      </vt:variant>
      <vt:variant>
        <vt:i4>0</vt:i4>
      </vt:variant>
      <vt:variant>
        <vt:i4>5</vt:i4>
      </vt:variant>
      <vt:variant>
        <vt:lpwstr/>
      </vt:variant>
      <vt:variant>
        <vt:lpwstr>_Toc18404239</vt:lpwstr>
      </vt:variant>
      <vt:variant>
        <vt:i4>2162749</vt:i4>
      </vt:variant>
      <vt:variant>
        <vt:i4>0</vt:i4>
      </vt:variant>
      <vt:variant>
        <vt:i4>0</vt:i4>
      </vt:variant>
      <vt:variant>
        <vt:i4>5</vt:i4>
      </vt:variant>
      <vt:variant>
        <vt:lpwstr>https://foresthub.walthamforest.gov.uk/services/hr/restructure-and-reorganisation/redeployment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Supplements</dc:title>
  <dc:subject/>
  <dc:creator>Meryl Wade</dc:creator>
  <cp:keywords/>
  <cp:lastModifiedBy>Oliver Newnam</cp:lastModifiedBy>
  <cp:revision>2</cp:revision>
  <cp:lastPrinted>2019-11-13T10:50:00Z</cp:lastPrinted>
  <dcterms:created xsi:type="dcterms:W3CDTF">2022-03-31T10:21:00Z</dcterms:created>
  <dcterms:modified xsi:type="dcterms:W3CDTF">2022-03-31T10:21:00Z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Order">
    <vt:r8>5700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