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F3" w:rsidRDefault="00E9104A" w:rsidP="00425FF3">
      <w:bookmarkStart w:id="0" w:name="_GoBack"/>
      <w:bookmarkEnd w:id="0"/>
      <w:r>
        <w:rPr>
          <w:noProof/>
        </w:rPr>
        <w:drawing>
          <wp:anchor distT="0" distB="0" distL="114300" distR="114300" simplePos="0" relativeHeight="251666432" behindDoc="0" locked="0" layoutInCell="1" allowOverlap="1" wp14:anchorId="46AEBBDC" wp14:editId="3869CD20">
            <wp:simplePos x="0" y="0"/>
            <wp:positionH relativeFrom="column">
              <wp:posOffset>-1149350</wp:posOffset>
            </wp:positionH>
            <wp:positionV relativeFrom="paragraph">
              <wp:posOffset>-51258</wp:posOffset>
            </wp:positionV>
            <wp:extent cx="7575550" cy="1477645"/>
            <wp:effectExtent l="0" t="0" r="6350" b="8255"/>
            <wp:wrapNone/>
            <wp:docPr id="5" name="Picture 2" descr="New Powerpoint slide_Oct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New Powerpoint slide_Oct20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5550" cy="1477645"/>
                    </a:xfrm>
                    <a:prstGeom prst="rect">
                      <a:avLst/>
                    </a:prstGeom>
                    <a:noFill/>
                    <a:extLst/>
                  </pic:spPr>
                </pic:pic>
              </a:graphicData>
            </a:graphic>
            <wp14:sizeRelH relativeFrom="page">
              <wp14:pctWidth>0</wp14:pctWidth>
            </wp14:sizeRelH>
            <wp14:sizeRelV relativeFrom="page">
              <wp14:pctHeight>0</wp14:pctHeight>
            </wp14:sizeRelV>
          </wp:anchor>
        </w:drawing>
      </w:r>
      <w:r w:rsidR="00425FF3">
        <w:rPr>
          <w:noProof/>
        </w:rPr>
        <mc:AlternateContent>
          <mc:Choice Requires="wps">
            <w:drawing>
              <wp:anchor distT="0" distB="0" distL="114300" distR="114300" simplePos="0" relativeHeight="251664384" behindDoc="0" locked="0" layoutInCell="1" allowOverlap="1" wp14:anchorId="4DEF152C" wp14:editId="680C1CF0">
                <wp:simplePos x="0" y="0"/>
                <wp:positionH relativeFrom="column">
                  <wp:posOffset>1316421</wp:posOffset>
                </wp:positionH>
                <wp:positionV relativeFrom="paragraph">
                  <wp:posOffset>6905297</wp:posOffset>
                </wp:positionV>
                <wp:extent cx="4556081" cy="1950654"/>
                <wp:effectExtent l="0" t="0" r="0" b="0"/>
                <wp:wrapNone/>
                <wp:docPr id="3"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56081" cy="1950654"/>
                        </a:xfrm>
                        <a:prstGeom prst="rect">
                          <a:avLst/>
                        </a:prstGeom>
                      </wps:spPr>
                      <wps:txbx>
                        <w:txbxContent>
                          <w:tbl>
                            <w:tblPr>
                              <w:tblStyle w:val="TableGrid"/>
                              <w:tblW w:w="0" w:type="auto"/>
                              <w:tblLook w:val="04A0" w:firstRow="1" w:lastRow="0" w:firstColumn="1" w:lastColumn="0" w:noHBand="0" w:noVBand="1"/>
                            </w:tblPr>
                            <w:tblGrid>
                              <w:gridCol w:w="3651"/>
                              <w:gridCol w:w="3450"/>
                            </w:tblGrid>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Implementation</w:t>
                                  </w:r>
                                </w:p>
                              </w:tc>
                              <w:tc>
                                <w:tcPr>
                                  <w:tcW w:w="4261" w:type="dxa"/>
                                </w:tcPr>
                                <w:p w:rsidR="00623F09" w:rsidRPr="00B554A6" w:rsidRDefault="00623F09" w:rsidP="00EC1F40">
                                  <w:pPr>
                                    <w:jc w:val="center"/>
                                    <w:rPr>
                                      <w:b/>
                                    </w:rPr>
                                  </w:pPr>
                                  <w:r>
                                    <w:rPr>
                                      <w:b/>
                                    </w:rPr>
                                    <w:t>February 2015</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Latest Review</w:t>
                                  </w:r>
                                </w:p>
                              </w:tc>
                              <w:tc>
                                <w:tcPr>
                                  <w:tcW w:w="4261" w:type="dxa"/>
                                </w:tcPr>
                                <w:p w:rsidR="00623F09" w:rsidRPr="00B554A6" w:rsidRDefault="00FD6646" w:rsidP="00EC1F40">
                                  <w:pPr>
                                    <w:jc w:val="center"/>
                                    <w:rPr>
                                      <w:b/>
                                    </w:rPr>
                                  </w:pPr>
                                  <w:r>
                                    <w:rPr>
                                      <w:b/>
                                    </w:rPr>
                                    <w:t>February 2018</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Next Planned Review</w:t>
                                  </w:r>
                                </w:p>
                              </w:tc>
                              <w:tc>
                                <w:tcPr>
                                  <w:tcW w:w="4261" w:type="dxa"/>
                                </w:tcPr>
                                <w:p w:rsidR="00623F09" w:rsidRPr="00B554A6" w:rsidRDefault="00FD6646" w:rsidP="00FD6646">
                                  <w:pPr>
                                    <w:jc w:val="center"/>
                                    <w:rPr>
                                      <w:b/>
                                    </w:rPr>
                                  </w:pPr>
                                  <w:r>
                                    <w:rPr>
                                      <w:b/>
                                    </w:rPr>
                                    <w:t>February 2020</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Equality Analysis Completed</w:t>
                                  </w:r>
                                </w:p>
                              </w:tc>
                              <w:tc>
                                <w:tcPr>
                                  <w:tcW w:w="4261" w:type="dxa"/>
                                </w:tcPr>
                                <w:p w:rsidR="00623F09" w:rsidRPr="00B554A6" w:rsidRDefault="00623F09" w:rsidP="00EC1F40">
                                  <w:pPr>
                                    <w:jc w:val="center"/>
                                    <w:rPr>
                                      <w:b/>
                                    </w:rPr>
                                  </w:pPr>
                                  <w:r>
                                    <w:rPr>
                                      <w:b/>
                                    </w:rPr>
                                    <w:t>March 2014</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Document Version</w:t>
                                  </w:r>
                                </w:p>
                              </w:tc>
                              <w:tc>
                                <w:tcPr>
                                  <w:tcW w:w="4261" w:type="dxa"/>
                                </w:tcPr>
                                <w:p w:rsidR="00623F09" w:rsidRPr="00B554A6" w:rsidRDefault="00623F09" w:rsidP="000431EC">
                                  <w:pPr>
                                    <w:jc w:val="center"/>
                                    <w:rPr>
                                      <w:b/>
                                    </w:rPr>
                                  </w:pPr>
                                  <w:r>
                                    <w:rPr>
                                      <w:b/>
                                    </w:rPr>
                                    <w:t>v1</w:t>
                                  </w:r>
                                  <w:r w:rsidR="000431EC">
                                    <w:rPr>
                                      <w:b/>
                                    </w:rPr>
                                    <w:t>2</w:t>
                                  </w:r>
                                </w:p>
                              </w:tc>
                            </w:tr>
                          </w:tbl>
                          <w:p w:rsidR="00623F09" w:rsidRPr="00CE7203" w:rsidRDefault="00623F09" w:rsidP="00425FF3">
                            <w:pPr>
                              <w:pStyle w:val="NormalWeb"/>
                              <w:spacing w:before="0" w:beforeAutospacing="0" w:after="0" w:afterAutospacing="0"/>
                              <w:jc w:val="both"/>
                              <w:rPr>
                                <w:sz w:val="8"/>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le 3" o:spid="_x0000_s1026" style="position:absolute;margin-left:103.65pt;margin-top:543.7pt;width:358.75pt;height:1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" filled="f" stroked="f">
                <v:path arrowok="t"/>
                <o:lock v:ext="edit" grouping="t"/>
                <v:textbox>
                  <w:txbxContent>
                    <w:tbl>
                      <w:tblPr>
                        <w:tblStyle w:val="TableGrid"/>
                        <w:tblW w:w="0" w:type="auto"/>
                        <w:tblLook w:val="04A0" w:firstRow="1" w:lastRow="0" w:firstColumn="1" w:lastColumn="0" w:noHBand="0" w:noVBand="1"/>
                      </w:tblPr>
                      <w:tblGrid>
                        <w:gridCol w:w="3651"/>
                        <w:gridCol w:w="3450"/>
                      </w:tblGrid>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Implementation</w:t>
                            </w:r>
                          </w:p>
                        </w:tc>
                        <w:tc>
                          <w:tcPr>
                            <w:tcW w:w="4261" w:type="dxa"/>
                          </w:tcPr>
                          <w:p w:rsidR="00623F09" w:rsidRPr="00B554A6" w:rsidRDefault="00623F09" w:rsidP="00EC1F40">
                            <w:pPr>
                              <w:jc w:val="center"/>
                              <w:rPr>
                                <w:b/>
                              </w:rPr>
                            </w:pPr>
                            <w:r>
                              <w:rPr>
                                <w:b/>
                              </w:rPr>
                              <w:t>February 2015</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Latest Review</w:t>
                            </w:r>
                          </w:p>
                        </w:tc>
                        <w:tc>
                          <w:tcPr>
                            <w:tcW w:w="4261" w:type="dxa"/>
                          </w:tcPr>
                          <w:p w:rsidR="00623F09" w:rsidRPr="00B554A6" w:rsidRDefault="00FD6646" w:rsidP="00EC1F40">
                            <w:pPr>
                              <w:jc w:val="center"/>
                              <w:rPr>
                                <w:b/>
                              </w:rPr>
                            </w:pPr>
                            <w:r>
                              <w:rPr>
                                <w:b/>
                              </w:rPr>
                              <w:t>February 2018</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of Next Planned Review</w:t>
                            </w:r>
                          </w:p>
                        </w:tc>
                        <w:tc>
                          <w:tcPr>
                            <w:tcW w:w="4261" w:type="dxa"/>
                          </w:tcPr>
                          <w:p w:rsidR="00623F09" w:rsidRPr="00B554A6" w:rsidRDefault="00FD6646" w:rsidP="00FD6646">
                            <w:pPr>
                              <w:jc w:val="center"/>
                              <w:rPr>
                                <w:b/>
                              </w:rPr>
                            </w:pPr>
                            <w:r>
                              <w:rPr>
                                <w:b/>
                              </w:rPr>
                              <w:t>February 2020</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Date Equality Analysis Completed</w:t>
                            </w:r>
                          </w:p>
                        </w:tc>
                        <w:tc>
                          <w:tcPr>
                            <w:tcW w:w="4261" w:type="dxa"/>
                          </w:tcPr>
                          <w:p w:rsidR="00623F09" w:rsidRPr="00B554A6" w:rsidRDefault="00623F09" w:rsidP="00EC1F40">
                            <w:pPr>
                              <w:jc w:val="center"/>
                              <w:rPr>
                                <w:b/>
                              </w:rPr>
                            </w:pPr>
                            <w:r>
                              <w:rPr>
                                <w:b/>
                              </w:rPr>
                              <w:t>March 2014</w:t>
                            </w:r>
                          </w:p>
                        </w:tc>
                      </w:tr>
                      <w:tr w:rsidR="00FD6646" w:rsidRPr="00B554A6" w:rsidTr="00EC1F40">
                        <w:tc>
                          <w:tcPr>
                            <w:tcW w:w="4261" w:type="dxa"/>
                          </w:tcPr>
                          <w:p w:rsidR="00623F09" w:rsidRPr="00AD58F4" w:rsidRDefault="00623F09" w:rsidP="00623F09">
                            <w:pPr>
                              <w:rPr>
                                <w:b/>
                                <w:color w:val="365F91" w:themeColor="accent1" w:themeShade="BF"/>
                              </w:rPr>
                            </w:pPr>
                            <w:r w:rsidRPr="00AD58F4">
                              <w:rPr>
                                <w:b/>
                                <w:color w:val="365F91" w:themeColor="accent1" w:themeShade="BF"/>
                              </w:rPr>
                              <w:t>Document Version</w:t>
                            </w:r>
                          </w:p>
                        </w:tc>
                        <w:tc>
                          <w:tcPr>
                            <w:tcW w:w="4261" w:type="dxa"/>
                          </w:tcPr>
                          <w:p w:rsidR="00623F09" w:rsidRPr="00B554A6" w:rsidRDefault="00623F09" w:rsidP="000431EC">
                            <w:pPr>
                              <w:jc w:val="center"/>
                              <w:rPr>
                                <w:b/>
                              </w:rPr>
                            </w:pPr>
                            <w:r>
                              <w:rPr>
                                <w:b/>
                              </w:rPr>
                              <w:t>v1</w:t>
                            </w:r>
                            <w:r w:rsidR="000431EC">
                              <w:rPr>
                                <w:b/>
                              </w:rPr>
                              <w:t>2</w:t>
                            </w:r>
                          </w:p>
                        </w:tc>
                      </w:tr>
                    </w:tbl>
                    <w:p w:rsidR="00623F09" w:rsidRPr="00CE7203" w:rsidRDefault="00623F09" w:rsidP="00425FF3">
                      <w:pPr>
                        <w:pStyle w:val="NormalWeb"/>
                        <w:spacing w:before="0" w:beforeAutospacing="0" w:after="0" w:afterAutospacing="0"/>
                        <w:jc w:val="both"/>
                        <w:rPr>
                          <w:sz w:val="8"/>
                        </w:rPr>
                      </w:pPr>
                    </w:p>
                  </w:txbxContent>
                </v:textbox>
              </v:rect>
            </w:pict>
          </mc:Fallback>
        </mc:AlternateContent>
      </w:r>
    </w:p>
    <w:p w:rsidR="00425FF3" w:rsidRDefault="00425FF3" w:rsidP="00425FF3">
      <w:pPr>
        <w:rPr>
          <w:rFonts w:cs="Arial"/>
          <w:b/>
          <w:lang w:eastAsia="en-US"/>
        </w:rPr>
      </w:pPr>
    </w:p>
    <w:p w:rsidR="00425FF3" w:rsidRDefault="00425FF3" w:rsidP="00425FF3">
      <w:pPr>
        <w:rPr>
          <w:rFonts w:cs="Arial"/>
          <w:b/>
          <w:lang w:eastAsia="en-US"/>
        </w:rPr>
      </w:pPr>
    </w:p>
    <w:p w:rsidR="00425FF3" w:rsidRDefault="00425FF3"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0431EC" w:rsidP="00425FF3">
      <w:pPr>
        <w:rPr>
          <w:rFonts w:cs="Arial"/>
          <w:b/>
          <w:lang w:eastAsia="en-US"/>
        </w:rPr>
      </w:pPr>
      <w:r>
        <w:rPr>
          <w:noProof/>
        </w:rPr>
        <mc:AlternateContent>
          <mc:Choice Requires="wps">
            <w:drawing>
              <wp:anchor distT="0" distB="0" distL="114300" distR="114300" simplePos="0" relativeHeight="251663360" behindDoc="0" locked="0" layoutInCell="1" allowOverlap="1" wp14:anchorId="68BBC472" wp14:editId="066C4640">
                <wp:simplePos x="0" y="0"/>
                <wp:positionH relativeFrom="column">
                  <wp:posOffset>281762</wp:posOffset>
                </wp:positionH>
                <wp:positionV relativeFrom="paragraph">
                  <wp:posOffset>119085</wp:posOffset>
                </wp:positionV>
                <wp:extent cx="4816549" cy="1116418"/>
                <wp:effectExtent l="0" t="0" r="0" b="0"/>
                <wp:wrapNone/>
                <wp:docPr id="4"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16549" cy="1116418"/>
                        </a:xfrm>
                        <a:prstGeom prst="rect">
                          <a:avLst/>
                        </a:prstGeom>
                      </wps:spPr>
                      <wps:txbx>
                        <w:txbxContent>
                          <w:p w:rsidR="00623F09" w:rsidRPr="00623F09" w:rsidRDefault="00623F09" w:rsidP="00EC1F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b/>
                                <w:bCs/>
                                <w:kern w:val="24"/>
                                <w:sz w:val="18"/>
                                <w:szCs w:val="18"/>
                              </w:rPr>
                            </w:pPr>
                          </w:p>
                          <w:p w:rsidR="00623F09" w:rsidRPr="000431EC" w:rsidRDefault="00623F09" w:rsidP="00EC1F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56"/>
                                <w:szCs w:val="56"/>
                              </w:rPr>
                            </w:pPr>
                            <w:r w:rsidRPr="000431EC">
                              <w:rPr>
                                <w:rFonts w:ascii="Calibri" w:hAnsi="Calibri" w:cs="Calibri"/>
                                <w:b/>
                                <w:bCs/>
                                <w:kern w:val="24"/>
                                <w:sz w:val="56"/>
                                <w:szCs w:val="56"/>
                              </w:rPr>
                              <w:t>Domestic Violence Guidance</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2.2pt;margin-top:9.4pt;width:379.25pt;height:8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" filled="f" stroked="f">
                <v:path arrowok="t"/>
                <o:lock v:ext="edit" grouping="t"/>
                <v:textbox>
                  <w:txbxContent>
                    <w:p w:rsidR="00623F09" w:rsidRPr="00623F09" w:rsidRDefault="00623F09" w:rsidP="00EC1F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Calibri" w:hAnsi="Calibri" w:cs="Calibri"/>
                          <w:b/>
                          <w:bCs/>
                          <w:kern w:val="24"/>
                          <w:sz w:val="18"/>
                          <w:szCs w:val="18"/>
                        </w:rPr>
                      </w:pPr>
                    </w:p>
                    <w:p w:rsidR="00623F09" w:rsidRPr="000431EC" w:rsidRDefault="00623F09" w:rsidP="00EC1F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56"/>
                          <w:szCs w:val="56"/>
                        </w:rPr>
                      </w:pPr>
                      <w:r w:rsidRPr="000431EC">
                        <w:rPr>
                          <w:rFonts w:ascii="Calibri" w:hAnsi="Calibri" w:cs="Calibri"/>
                          <w:b/>
                          <w:bCs/>
                          <w:kern w:val="24"/>
                          <w:sz w:val="56"/>
                          <w:szCs w:val="56"/>
                        </w:rPr>
                        <w:t>Domestic Violence Guidance</w:t>
                      </w:r>
                    </w:p>
                  </w:txbxContent>
                </v:textbox>
              </v:rect>
            </w:pict>
          </mc:Fallback>
        </mc:AlternateContent>
      </w: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53018B" w:rsidRDefault="0053018B" w:rsidP="00425FF3">
      <w:pPr>
        <w:rPr>
          <w:rFonts w:cs="Arial"/>
          <w:b/>
          <w:lang w:eastAsia="en-US"/>
        </w:rPr>
      </w:pPr>
    </w:p>
    <w:p w:rsidR="00425FF3" w:rsidRDefault="00425FF3" w:rsidP="00425FF3">
      <w:pPr>
        <w:rPr>
          <w:rFonts w:cs="Arial"/>
          <w:b/>
          <w:lang w:eastAsia="en-US"/>
        </w:rPr>
      </w:pPr>
    </w:p>
    <w:p w:rsidR="00425FF3" w:rsidRDefault="00425FF3" w:rsidP="00425FF3">
      <w:pPr>
        <w:rPr>
          <w:rFonts w:cs="Arial"/>
          <w:b/>
          <w:lang w:eastAsia="en-US"/>
        </w:rPr>
      </w:pPr>
    </w:p>
    <w:p w:rsidR="00425FF3" w:rsidRDefault="00425FF3" w:rsidP="00425FF3">
      <w:pPr>
        <w:rPr>
          <w:rFonts w:cs="Arial"/>
          <w:b/>
          <w:lang w:eastAsia="en-US"/>
        </w:rPr>
      </w:pPr>
    </w:p>
    <w:p w:rsidR="00425FF3" w:rsidRDefault="00425FF3" w:rsidP="00425FF3">
      <w:pPr>
        <w:rPr>
          <w:rFonts w:cs="Arial"/>
          <w:b/>
          <w:lang w:eastAsia="en-US"/>
        </w:rPr>
      </w:pPr>
    </w:p>
    <w:p w:rsidR="00425FF3" w:rsidRPr="00425FF3" w:rsidRDefault="00425FF3" w:rsidP="00425FF3">
      <w:pPr>
        <w:rPr>
          <w:rFonts w:cs="Arial"/>
          <w:b/>
          <w:lang w:eastAsia="en-US"/>
        </w:rPr>
      </w:pPr>
    </w:p>
    <w:p w:rsidR="00304DBD" w:rsidRPr="00304DBD" w:rsidRDefault="00304DBD">
      <w:pPr>
        <w:rPr>
          <w:rFonts w:cs="Arial"/>
          <w:lang w:eastAsia="en-US"/>
        </w:rPr>
      </w:pPr>
    </w:p>
    <w:p w:rsidR="0053018B" w:rsidRDefault="0053018B" w:rsidP="006C482A">
      <w:pPr>
        <w:rPr>
          <w:b/>
        </w:rPr>
      </w:pPr>
    </w:p>
    <w:p w:rsidR="00DC5883" w:rsidRDefault="00DC5883" w:rsidP="006C482A">
      <w:pPr>
        <w:rPr>
          <w:b/>
        </w:rPr>
      </w:pPr>
    </w:p>
    <w:p w:rsidR="008832F8" w:rsidRDefault="008832F8" w:rsidP="006C482A">
      <w:pPr>
        <w:rPr>
          <w:b/>
        </w:rPr>
      </w:pPr>
    </w:p>
    <w:p w:rsidR="00621D56" w:rsidRDefault="00621D56">
      <w:pPr>
        <w:rPr>
          <w:b/>
        </w:rPr>
      </w:pPr>
    </w:p>
    <w:p w:rsidR="005C5758" w:rsidRDefault="005C5758">
      <w:pPr>
        <w:rPr>
          <w:b/>
        </w:rPr>
      </w:pPr>
    </w:p>
    <w:p w:rsidR="000431EC" w:rsidRDefault="000431EC">
      <w:pPr>
        <w:rPr>
          <w:b/>
          <w:u w:val="single"/>
        </w:rPr>
      </w:pPr>
    </w:p>
    <w:p w:rsidR="000431EC" w:rsidRDefault="000431EC">
      <w:pPr>
        <w:rPr>
          <w:b/>
          <w:u w:val="single"/>
        </w:rPr>
      </w:pPr>
    </w:p>
    <w:p w:rsidR="000431EC" w:rsidRDefault="000431EC">
      <w:pPr>
        <w:rPr>
          <w:b/>
          <w:u w:val="single"/>
        </w:rPr>
      </w:pPr>
    </w:p>
    <w:p w:rsidR="000431EC" w:rsidRDefault="000431EC">
      <w:pPr>
        <w:rPr>
          <w:b/>
          <w:u w:val="single"/>
        </w:rPr>
      </w:pPr>
    </w:p>
    <w:p w:rsidR="000431EC" w:rsidRDefault="000431EC">
      <w:pPr>
        <w:rPr>
          <w:b/>
          <w:u w:val="single"/>
        </w:rPr>
      </w:pPr>
    </w:p>
    <w:p w:rsidR="000431EC" w:rsidRDefault="000431EC">
      <w:pPr>
        <w:rPr>
          <w:b/>
          <w:u w:val="single"/>
        </w:rPr>
      </w:pPr>
    </w:p>
    <w:p w:rsidR="000431EC" w:rsidRDefault="000431EC">
      <w:pPr>
        <w:rPr>
          <w:b/>
          <w:u w:val="single"/>
        </w:rPr>
      </w:pPr>
    </w:p>
    <w:p w:rsidR="008F1AA3" w:rsidRPr="00AC3280" w:rsidRDefault="00623F09">
      <w:pPr>
        <w:rPr>
          <w:b/>
          <w:u w:val="single"/>
        </w:rPr>
      </w:pPr>
      <w:r w:rsidRPr="00AC3280">
        <w:rPr>
          <w:b/>
          <w:u w:val="single"/>
        </w:rPr>
        <w:t>Content</w:t>
      </w:r>
    </w:p>
    <w:p w:rsidR="00623F09" w:rsidRPr="00AC3280" w:rsidRDefault="00623F09" w:rsidP="00623F09">
      <w:pPr>
        <w:spacing w:line="480" w:lineRule="auto"/>
        <w:rPr>
          <w:b/>
        </w:rPr>
      </w:pPr>
    </w:p>
    <w:p w:rsidR="00623F09" w:rsidRPr="00AC3280" w:rsidRDefault="00623F09" w:rsidP="00623F09">
      <w:pPr>
        <w:pStyle w:val="ListParagraph"/>
        <w:numPr>
          <w:ilvl w:val="0"/>
          <w:numId w:val="12"/>
        </w:numPr>
        <w:spacing w:after="360" w:line="480" w:lineRule="auto"/>
        <w:ind w:left="357" w:hanging="357"/>
        <w:rPr>
          <w:b/>
        </w:rPr>
      </w:pPr>
      <w:r w:rsidRPr="00AC3280">
        <w:rPr>
          <w:b/>
        </w:rPr>
        <w:t>Purpose</w:t>
      </w:r>
    </w:p>
    <w:p w:rsidR="00623F09" w:rsidRPr="00AC3280" w:rsidRDefault="00623F09" w:rsidP="00623F09">
      <w:pPr>
        <w:pStyle w:val="ListParagraph"/>
        <w:numPr>
          <w:ilvl w:val="0"/>
          <w:numId w:val="12"/>
        </w:numPr>
        <w:spacing w:after="360" w:line="480" w:lineRule="auto"/>
        <w:ind w:left="357" w:hanging="357"/>
        <w:rPr>
          <w:b/>
        </w:rPr>
      </w:pPr>
      <w:r w:rsidRPr="00AC3280">
        <w:rPr>
          <w:b/>
        </w:rPr>
        <w:t>Executive Summary</w:t>
      </w:r>
    </w:p>
    <w:p w:rsidR="00623F09" w:rsidRPr="00AC3280" w:rsidRDefault="00623F09" w:rsidP="00623F09">
      <w:pPr>
        <w:pStyle w:val="ListParagraph"/>
        <w:numPr>
          <w:ilvl w:val="0"/>
          <w:numId w:val="12"/>
        </w:numPr>
        <w:spacing w:after="360" w:line="480" w:lineRule="auto"/>
        <w:ind w:left="357" w:hanging="357"/>
        <w:rPr>
          <w:b/>
        </w:rPr>
      </w:pPr>
      <w:r w:rsidRPr="00AC3280">
        <w:rPr>
          <w:b/>
        </w:rPr>
        <w:t>Scope</w:t>
      </w:r>
    </w:p>
    <w:p w:rsidR="00623F09" w:rsidRPr="00AC3280" w:rsidRDefault="00623F09" w:rsidP="00623F09">
      <w:pPr>
        <w:pStyle w:val="ListParagraph"/>
        <w:numPr>
          <w:ilvl w:val="0"/>
          <w:numId w:val="12"/>
        </w:numPr>
        <w:spacing w:after="360" w:line="480" w:lineRule="auto"/>
        <w:ind w:left="357" w:hanging="357"/>
        <w:rPr>
          <w:b/>
        </w:rPr>
      </w:pPr>
      <w:r w:rsidRPr="00AC3280">
        <w:rPr>
          <w:b/>
        </w:rPr>
        <w:t>Process/Procedure</w:t>
      </w:r>
    </w:p>
    <w:p w:rsidR="00623F09" w:rsidRPr="00AC3280" w:rsidRDefault="00623F09" w:rsidP="00623F09">
      <w:pPr>
        <w:pStyle w:val="ListParagraph"/>
        <w:numPr>
          <w:ilvl w:val="0"/>
          <w:numId w:val="12"/>
        </w:numPr>
        <w:spacing w:after="360" w:line="480" w:lineRule="auto"/>
        <w:ind w:left="357" w:hanging="357"/>
        <w:rPr>
          <w:b/>
        </w:rPr>
      </w:pPr>
      <w:r w:rsidRPr="00AC3280">
        <w:rPr>
          <w:b/>
        </w:rPr>
        <w:t>Monitoring</w:t>
      </w:r>
    </w:p>
    <w:p w:rsidR="00623F09" w:rsidRPr="00AC3280" w:rsidRDefault="00623F09" w:rsidP="00623F09">
      <w:pPr>
        <w:pStyle w:val="ListParagraph"/>
        <w:numPr>
          <w:ilvl w:val="0"/>
          <w:numId w:val="12"/>
        </w:numPr>
        <w:spacing w:after="360" w:line="480" w:lineRule="auto"/>
        <w:ind w:left="357" w:hanging="357"/>
        <w:rPr>
          <w:b/>
        </w:rPr>
      </w:pPr>
      <w:r w:rsidRPr="00AC3280">
        <w:rPr>
          <w:b/>
        </w:rPr>
        <w:t>Further Information</w:t>
      </w:r>
    </w:p>
    <w:p w:rsidR="005C5758" w:rsidRDefault="005C5758">
      <w:pPr>
        <w:rPr>
          <w:b/>
        </w:rPr>
      </w:pPr>
    </w:p>
    <w:p w:rsidR="005C5758" w:rsidRDefault="005C5758">
      <w:pPr>
        <w:rPr>
          <w:b/>
        </w:rPr>
      </w:pPr>
    </w:p>
    <w:p w:rsidR="005C5758" w:rsidRDefault="005C5758">
      <w:pPr>
        <w:rPr>
          <w:b/>
        </w:rPr>
      </w:pPr>
    </w:p>
    <w:p w:rsidR="005C5758" w:rsidRDefault="005C5758">
      <w:pPr>
        <w:rPr>
          <w:b/>
        </w:rPr>
      </w:pPr>
    </w:p>
    <w:p w:rsidR="005C5758" w:rsidRDefault="005C5758">
      <w:pPr>
        <w:rPr>
          <w:b/>
        </w:rPr>
      </w:pPr>
    </w:p>
    <w:p w:rsidR="005C5758" w:rsidRDefault="005C5758">
      <w:pPr>
        <w:rPr>
          <w:b/>
        </w:rPr>
      </w:pPr>
    </w:p>
    <w:p w:rsidR="005C5758" w:rsidRDefault="005C5758">
      <w:pPr>
        <w:rPr>
          <w:b/>
        </w:rPr>
      </w:pPr>
    </w:p>
    <w:p w:rsidR="008F1AA3" w:rsidRDefault="008F1AA3">
      <w:pPr>
        <w:rPr>
          <w:b/>
        </w:rPr>
      </w:pPr>
      <w:r>
        <w:rPr>
          <w:b/>
        </w:rPr>
        <w:br w:type="page"/>
      </w:r>
    </w:p>
    <w:p w:rsidR="005C5758" w:rsidRDefault="005C5758">
      <w:pPr>
        <w:rPr>
          <w:b/>
        </w:rPr>
      </w:pPr>
    </w:p>
    <w:p w:rsidR="005C5758" w:rsidRDefault="005C5758">
      <w:pPr>
        <w:rPr>
          <w:b/>
        </w:rPr>
      </w:pPr>
    </w:p>
    <w:p w:rsidR="005C5758" w:rsidRPr="00CD5ADB" w:rsidRDefault="005C5758">
      <w:pPr>
        <w:rPr>
          <w:b/>
        </w:rPr>
      </w:pPr>
    </w:p>
    <w:p w:rsidR="00621D56" w:rsidRPr="00CD5ADB" w:rsidRDefault="00621D56" w:rsidP="00621D56">
      <w:pPr>
        <w:tabs>
          <w:tab w:val="right" w:leader="dot" w:pos="8647"/>
        </w:tabs>
        <w:rPr>
          <w:rFonts w:cs="Arial"/>
          <w:b/>
          <w:u w:val="single"/>
          <w:lang w:eastAsia="en-US"/>
        </w:rPr>
      </w:pPr>
      <w:r w:rsidRPr="00CD5ADB">
        <w:rPr>
          <w:rFonts w:cs="Arial"/>
          <w:b/>
          <w:u w:val="single"/>
          <w:lang w:eastAsia="en-US"/>
        </w:rPr>
        <w:t xml:space="preserve">1. </w:t>
      </w:r>
      <w:r w:rsidR="00EC1F40">
        <w:rPr>
          <w:rFonts w:cs="Arial"/>
          <w:b/>
          <w:u w:val="single"/>
          <w:lang w:eastAsia="en-US"/>
        </w:rPr>
        <w:t xml:space="preserve">      </w:t>
      </w:r>
      <w:r w:rsidRPr="00CD5ADB">
        <w:rPr>
          <w:rFonts w:cs="Arial"/>
          <w:b/>
          <w:u w:val="single"/>
          <w:lang w:eastAsia="en-US"/>
        </w:rPr>
        <w:t>Purpose</w:t>
      </w:r>
      <w:r w:rsidR="00393867" w:rsidRPr="00CD5ADB">
        <w:rPr>
          <w:rFonts w:cs="Arial"/>
          <w:b/>
          <w:u w:val="single"/>
          <w:lang w:eastAsia="en-US"/>
        </w:rPr>
        <w:t xml:space="preserve"> </w:t>
      </w:r>
    </w:p>
    <w:p w:rsidR="00621D56" w:rsidRPr="00621D56" w:rsidRDefault="00621D56" w:rsidP="00621D56">
      <w:pPr>
        <w:rPr>
          <w:rFonts w:cs="Arial"/>
          <w:b/>
          <w:lang w:eastAsia="en-US"/>
        </w:rPr>
      </w:pPr>
    </w:p>
    <w:p w:rsidR="00621D56" w:rsidRPr="00621D56" w:rsidRDefault="00621D56" w:rsidP="00621D56">
      <w:pPr>
        <w:ind w:left="720" w:hanging="720"/>
        <w:jc w:val="both"/>
        <w:rPr>
          <w:rFonts w:cs="Arial"/>
          <w:lang w:eastAsia="en-US"/>
        </w:rPr>
      </w:pPr>
    </w:p>
    <w:p w:rsidR="00726E93" w:rsidRDefault="00621D56" w:rsidP="000431EC">
      <w:pPr>
        <w:spacing w:line="276" w:lineRule="auto"/>
        <w:ind w:left="709" w:hanging="709"/>
        <w:jc w:val="both"/>
        <w:rPr>
          <w:rFonts w:ascii="Calibri" w:hAnsi="Calibri" w:cs="Calibri"/>
          <w:b/>
          <w:lang w:eastAsia="en-US"/>
        </w:rPr>
      </w:pPr>
      <w:r w:rsidRPr="00621D56">
        <w:rPr>
          <w:rFonts w:cs="Arial"/>
          <w:lang w:eastAsia="en-US"/>
        </w:rPr>
        <w:t>1.1</w:t>
      </w:r>
      <w:r w:rsidRPr="00621D56">
        <w:rPr>
          <w:rFonts w:cs="Arial"/>
          <w:lang w:eastAsia="en-US"/>
        </w:rPr>
        <w:tab/>
        <w:t>The Council is committed to supporting employees who are the victims of</w:t>
      </w:r>
      <w:r w:rsidR="00726E93">
        <w:rPr>
          <w:rFonts w:cs="Arial"/>
          <w:lang w:eastAsia="en-US"/>
        </w:rPr>
        <w:t xml:space="preserve"> </w:t>
      </w:r>
      <w:r w:rsidRPr="00621D56">
        <w:rPr>
          <w:rFonts w:cs="Arial"/>
          <w:lang w:eastAsia="en-US"/>
        </w:rPr>
        <w:t>domestic violence</w:t>
      </w:r>
      <w:r w:rsidR="00726E93">
        <w:rPr>
          <w:rFonts w:cs="Arial"/>
          <w:lang w:eastAsia="en-US"/>
        </w:rPr>
        <w:t xml:space="preserve"> (DV)</w:t>
      </w:r>
      <w:r w:rsidR="001962F0">
        <w:rPr>
          <w:rFonts w:cs="Arial"/>
          <w:lang w:eastAsia="en-US"/>
        </w:rPr>
        <w:t xml:space="preserve"> or any </w:t>
      </w:r>
      <w:r w:rsidR="00726E93">
        <w:rPr>
          <w:rFonts w:cs="Arial"/>
          <w:lang w:eastAsia="en-US"/>
        </w:rPr>
        <w:t xml:space="preserve">other </w:t>
      </w:r>
      <w:r w:rsidR="001962F0">
        <w:rPr>
          <w:rFonts w:cs="Arial"/>
          <w:lang w:eastAsia="en-US"/>
        </w:rPr>
        <w:t xml:space="preserve">form of Violence </w:t>
      </w:r>
      <w:proofErr w:type="gramStart"/>
      <w:r w:rsidR="001962F0">
        <w:rPr>
          <w:rFonts w:cs="Arial"/>
          <w:lang w:eastAsia="en-US"/>
        </w:rPr>
        <w:t>Against</w:t>
      </w:r>
      <w:proofErr w:type="gramEnd"/>
      <w:r w:rsidR="001962F0">
        <w:rPr>
          <w:rFonts w:cs="Arial"/>
          <w:lang w:eastAsia="en-US"/>
        </w:rPr>
        <w:t xml:space="preserve"> Women and Girls</w:t>
      </w:r>
      <w:r w:rsidR="00726E93">
        <w:rPr>
          <w:rFonts w:cs="Arial"/>
          <w:lang w:eastAsia="en-US"/>
        </w:rPr>
        <w:t xml:space="preserve"> (VAWG)</w:t>
      </w:r>
      <w:r w:rsidRPr="00621D56">
        <w:rPr>
          <w:rFonts w:cs="Arial"/>
          <w:lang w:eastAsia="en-US"/>
        </w:rPr>
        <w:t>.</w:t>
      </w:r>
      <w:r w:rsidR="00371951">
        <w:rPr>
          <w:rFonts w:cs="Arial"/>
          <w:lang w:eastAsia="en-US"/>
        </w:rPr>
        <w:t xml:space="preserve"> </w:t>
      </w:r>
    </w:p>
    <w:p w:rsidR="00726E93" w:rsidRPr="00726E93" w:rsidRDefault="00726E93" w:rsidP="000431EC">
      <w:pPr>
        <w:spacing w:line="276" w:lineRule="auto"/>
        <w:jc w:val="both"/>
        <w:rPr>
          <w:rFonts w:ascii="Calibri" w:hAnsi="Calibri" w:cs="Calibri"/>
          <w:b/>
          <w:lang w:eastAsia="en-US"/>
        </w:rPr>
      </w:pPr>
    </w:p>
    <w:p w:rsidR="00621D56" w:rsidRPr="00621D56" w:rsidRDefault="00371951" w:rsidP="00621D56">
      <w:pPr>
        <w:ind w:left="720" w:hanging="720"/>
        <w:jc w:val="both"/>
        <w:rPr>
          <w:rFonts w:cs="Arial"/>
          <w:lang w:eastAsia="en-US"/>
        </w:rPr>
      </w:pPr>
      <w:r>
        <w:rPr>
          <w:rFonts w:cs="Arial"/>
          <w:lang w:eastAsia="en-US"/>
        </w:rPr>
        <w:t xml:space="preserve">  </w:t>
      </w:r>
      <w:r w:rsidR="00726E93">
        <w:rPr>
          <w:rFonts w:cs="Arial"/>
          <w:lang w:eastAsia="en-US"/>
        </w:rPr>
        <w:tab/>
      </w:r>
      <w:r w:rsidR="00621D56" w:rsidRPr="00621D56">
        <w:rPr>
          <w:rFonts w:cs="Arial"/>
          <w:lang w:eastAsia="en-US"/>
        </w:rPr>
        <w:t xml:space="preserve">It will take appropriate action against employees who are perpetrators of it and/or provide information about services that can help them with the aim of reducing risk and supporting change. </w:t>
      </w:r>
    </w:p>
    <w:p w:rsidR="00621D56" w:rsidRPr="00CD5ADB" w:rsidRDefault="00621D56" w:rsidP="00621D56">
      <w:pPr>
        <w:jc w:val="both"/>
        <w:rPr>
          <w:rFonts w:cs="Arial"/>
          <w:lang w:eastAsia="en-US"/>
        </w:rPr>
      </w:pPr>
    </w:p>
    <w:p w:rsidR="00621D56" w:rsidRPr="00CD5ADB" w:rsidRDefault="00621D56" w:rsidP="00621D56">
      <w:pPr>
        <w:tabs>
          <w:tab w:val="right" w:leader="dot" w:pos="8647"/>
        </w:tabs>
        <w:rPr>
          <w:rFonts w:cs="Arial"/>
          <w:b/>
          <w:u w:val="single"/>
          <w:lang w:eastAsia="en-US"/>
        </w:rPr>
      </w:pPr>
      <w:r w:rsidRPr="00CD5ADB">
        <w:rPr>
          <w:rFonts w:cs="Arial"/>
          <w:b/>
          <w:u w:val="single"/>
          <w:lang w:eastAsia="en-US"/>
        </w:rPr>
        <w:t xml:space="preserve">2. </w:t>
      </w:r>
      <w:r w:rsidR="00EC1F40">
        <w:rPr>
          <w:rFonts w:cs="Arial"/>
          <w:b/>
          <w:u w:val="single"/>
          <w:lang w:eastAsia="en-US"/>
        </w:rPr>
        <w:t xml:space="preserve">      </w:t>
      </w:r>
      <w:r w:rsidRPr="00CD5ADB">
        <w:rPr>
          <w:rFonts w:cs="Arial"/>
          <w:b/>
          <w:u w:val="single"/>
          <w:lang w:eastAsia="en-US"/>
        </w:rPr>
        <w:t xml:space="preserve">Executive Summary </w:t>
      </w:r>
    </w:p>
    <w:p w:rsidR="00621D56" w:rsidRPr="00CD5ADB" w:rsidRDefault="00621D56" w:rsidP="00621D56">
      <w:pPr>
        <w:jc w:val="both"/>
        <w:rPr>
          <w:rFonts w:cs="Arial"/>
          <w:lang w:eastAsia="en-US"/>
        </w:rPr>
      </w:pPr>
    </w:p>
    <w:p w:rsidR="00621D56" w:rsidRPr="00CD5ADB" w:rsidRDefault="00393867" w:rsidP="00393867">
      <w:pPr>
        <w:ind w:left="709" w:hanging="709"/>
        <w:jc w:val="both"/>
        <w:rPr>
          <w:rFonts w:cs="Arial"/>
          <w:lang w:eastAsia="en-US"/>
        </w:rPr>
      </w:pPr>
      <w:r w:rsidRPr="00CD5ADB">
        <w:rPr>
          <w:rFonts w:cs="Arial"/>
          <w:lang w:eastAsia="en-US"/>
        </w:rPr>
        <w:t>2.1</w:t>
      </w:r>
      <w:r w:rsidRPr="00CD5ADB">
        <w:rPr>
          <w:rFonts w:cs="Arial"/>
          <w:lang w:eastAsia="en-US"/>
        </w:rPr>
        <w:tab/>
      </w:r>
      <w:r w:rsidR="00FF73E2" w:rsidRPr="00621D56">
        <w:rPr>
          <w:rFonts w:cs="Arial"/>
          <w:lang w:eastAsia="en-US"/>
        </w:rPr>
        <w:t xml:space="preserve">Information about </w:t>
      </w:r>
      <w:r w:rsidR="00726E93">
        <w:rPr>
          <w:rFonts w:cs="Arial"/>
          <w:lang w:eastAsia="en-US"/>
        </w:rPr>
        <w:t>VAWG/</w:t>
      </w:r>
      <w:r w:rsidR="00FF73E2" w:rsidRPr="00621D56">
        <w:rPr>
          <w:rFonts w:cs="Arial"/>
          <w:lang w:eastAsia="en-US"/>
        </w:rPr>
        <w:t xml:space="preserve">domestic violence is unlikely to be disclosed easily by someone experiencing or committing it. An employer that is proactive in </w:t>
      </w:r>
      <w:r w:rsidR="00726E93">
        <w:rPr>
          <w:rFonts w:cs="Arial"/>
          <w:lang w:eastAsia="en-US"/>
        </w:rPr>
        <w:t>VAWG/</w:t>
      </w:r>
      <w:r w:rsidR="00FF73E2" w:rsidRPr="00621D56">
        <w:rPr>
          <w:rFonts w:cs="Arial"/>
          <w:lang w:eastAsia="en-US"/>
        </w:rPr>
        <w:t>tackling domestic violence may find that employees become more likely to disclose it. But often it may only be identified through monitoring of sickness, attendance and work performance.</w:t>
      </w:r>
    </w:p>
    <w:p w:rsidR="00FF73E2" w:rsidRPr="00621D56" w:rsidRDefault="00FF73E2" w:rsidP="00621D56">
      <w:pPr>
        <w:jc w:val="both"/>
        <w:rPr>
          <w:rFonts w:cs="Arial"/>
          <w:lang w:eastAsia="en-US"/>
        </w:rPr>
      </w:pPr>
    </w:p>
    <w:p w:rsidR="00621D56" w:rsidRPr="00621D56" w:rsidRDefault="00393867" w:rsidP="00621D56">
      <w:pPr>
        <w:ind w:left="720" w:hanging="720"/>
        <w:jc w:val="both"/>
        <w:rPr>
          <w:rFonts w:cs="Arial"/>
          <w:lang w:eastAsia="en-US"/>
        </w:rPr>
      </w:pPr>
      <w:r w:rsidRPr="00CD5ADB">
        <w:rPr>
          <w:rFonts w:cs="Arial"/>
          <w:lang w:eastAsia="en-US"/>
        </w:rPr>
        <w:t>2</w:t>
      </w:r>
      <w:r w:rsidR="00621D56" w:rsidRPr="00621D56">
        <w:rPr>
          <w:rFonts w:cs="Arial"/>
          <w:lang w:eastAsia="en-US"/>
        </w:rPr>
        <w:t>.2</w:t>
      </w:r>
      <w:r w:rsidR="00621D56" w:rsidRPr="00621D56">
        <w:rPr>
          <w:rFonts w:cs="Arial"/>
          <w:lang w:eastAsia="en-US"/>
        </w:rPr>
        <w:tab/>
        <w:t xml:space="preserve">Identification of </w:t>
      </w:r>
      <w:r w:rsidR="00726E93">
        <w:rPr>
          <w:rFonts w:cs="Arial"/>
          <w:lang w:eastAsia="en-US"/>
        </w:rPr>
        <w:t>VAWG/</w:t>
      </w:r>
      <w:r w:rsidR="00621D56" w:rsidRPr="00621D56">
        <w:rPr>
          <w:rFonts w:cs="Arial"/>
          <w:lang w:eastAsia="en-US"/>
        </w:rPr>
        <w:t xml:space="preserve">domestic violence at an early stage can lead to appropriate help and support being offered which can reduce prolonged or repeated suffering.  It can help reduce sick absence and the resultant burden and stress on colleagues. Integration of the response to </w:t>
      </w:r>
      <w:r w:rsidR="00726E93">
        <w:rPr>
          <w:rFonts w:cs="Arial"/>
          <w:lang w:eastAsia="en-US"/>
        </w:rPr>
        <w:t>VAWG/</w:t>
      </w:r>
      <w:r w:rsidR="00621D56" w:rsidRPr="00621D56">
        <w:rPr>
          <w:rFonts w:cs="Arial"/>
          <w:lang w:eastAsia="en-US"/>
        </w:rPr>
        <w:t xml:space="preserve">domestic violence with policies around sickness management and work performance will help to avoid taking inappropriate action against staff. </w:t>
      </w:r>
    </w:p>
    <w:p w:rsidR="00621D56" w:rsidRPr="00621D56" w:rsidRDefault="00621D56" w:rsidP="00621D56">
      <w:pPr>
        <w:jc w:val="both"/>
        <w:rPr>
          <w:rFonts w:cs="Arial"/>
          <w:lang w:eastAsia="en-US"/>
        </w:rPr>
      </w:pPr>
    </w:p>
    <w:p w:rsidR="00621D56" w:rsidRPr="00621D56" w:rsidRDefault="00393867" w:rsidP="00393867">
      <w:pPr>
        <w:ind w:left="709" w:hanging="709"/>
        <w:jc w:val="both"/>
        <w:rPr>
          <w:rFonts w:cs="Arial"/>
          <w:lang w:eastAsia="en-US"/>
        </w:rPr>
      </w:pPr>
      <w:r w:rsidRPr="00CD5ADB">
        <w:rPr>
          <w:rFonts w:cs="Arial"/>
          <w:lang w:eastAsia="en-US"/>
        </w:rPr>
        <w:t>2.3</w:t>
      </w:r>
      <w:r w:rsidRPr="00CD5ADB">
        <w:rPr>
          <w:rFonts w:cs="Arial"/>
          <w:lang w:eastAsia="en-US"/>
        </w:rPr>
        <w:tab/>
      </w:r>
      <w:r w:rsidR="00621D56" w:rsidRPr="00621D56">
        <w:rPr>
          <w:rFonts w:cs="Arial"/>
          <w:lang w:eastAsia="en-US"/>
        </w:rPr>
        <w:t>Taking a proactive stance on domestic violence means developing      consistency about supporting members of staff through their difficulties.</w:t>
      </w:r>
    </w:p>
    <w:p w:rsidR="00621D56" w:rsidRPr="00621D56" w:rsidRDefault="00621D56" w:rsidP="00621D56">
      <w:pPr>
        <w:ind w:left="709"/>
        <w:jc w:val="both"/>
        <w:rPr>
          <w:rFonts w:cs="Arial"/>
          <w:lang w:eastAsia="en-US"/>
        </w:rPr>
      </w:pPr>
    </w:p>
    <w:p w:rsidR="0058273F" w:rsidRPr="00CD5ADB" w:rsidRDefault="0058273F" w:rsidP="0058273F">
      <w:pPr>
        <w:tabs>
          <w:tab w:val="right" w:leader="dot" w:pos="8647"/>
        </w:tabs>
        <w:rPr>
          <w:rFonts w:cs="Arial"/>
          <w:b/>
          <w:u w:val="single"/>
          <w:lang w:eastAsia="en-US"/>
        </w:rPr>
      </w:pPr>
      <w:r w:rsidRPr="00CD5ADB">
        <w:rPr>
          <w:rFonts w:cs="Arial"/>
          <w:b/>
          <w:u w:val="single"/>
          <w:lang w:eastAsia="en-US"/>
        </w:rPr>
        <w:t xml:space="preserve">3. </w:t>
      </w:r>
      <w:r w:rsidR="00EC1F40">
        <w:rPr>
          <w:rFonts w:cs="Arial"/>
          <w:b/>
          <w:u w:val="single"/>
          <w:lang w:eastAsia="en-US"/>
        </w:rPr>
        <w:t xml:space="preserve">      S</w:t>
      </w:r>
      <w:r w:rsidRPr="00CD5ADB">
        <w:rPr>
          <w:rFonts w:cs="Arial"/>
          <w:b/>
          <w:u w:val="single"/>
          <w:lang w:eastAsia="en-US"/>
        </w:rPr>
        <w:t xml:space="preserve">cope </w:t>
      </w:r>
    </w:p>
    <w:p w:rsidR="00393867" w:rsidRPr="00CD5ADB" w:rsidRDefault="00393867" w:rsidP="0058273F">
      <w:pPr>
        <w:tabs>
          <w:tab w:val="right" w:leader="dot" w:pos="8647"/>
        </w:tabs>
        <w:rPr>
          <w:rFonts w:cs="Arial"/>
          <w:lang w:eastAsia="en-US"/>
        </w:rPr>
      </w:pPr>
    </w:p>
    <w:p w:rsidR="0058273F" w:rsidRDefault="00393867" w:rsidP="00393867">
      <w:pPr>
        <w:tabs>
          <w:tab w:val="num" w:pos="786"/>
        </w:tabs>
        <w:ind w:left="709" w:hanging="709"/>
        <w:jc w:val="both"/>
        <w:rPr>
          <w:rFonts w:cs="Arial"/>
          <w:lang w:eastAsia="en-US"/>
        </w:rPr>
      </w:pPr>
      <w:r w:rsidRPr="00CD5ADB">
        <w:rPr>
          <w:rFonts w:cs="Arial"/>
          <w:lang w:eastAsia="en-US"/>
        </w:rPr>
        <w:t>3.1</w:t>
      </w:r>
      <w:r w:rsidRPr="00CD5ADB">
        <w:rPr>
          <w:rFonts w:cs="Arial"/>
          <w:lang w:eastAsia="en-US"/>
        </w:rPr>
        <w:tab/>
      </w:r>
      <w:r w:rsidR="0058273F" w:rsidRPr="00621D56">
        <w:rPr>
          <w:rFonts w:cs="Arial"/>
          <w:lang w:eastAsia="en-US"/>
        </w:rPr>
        <w:t xml:space="preserve">Domestic violence is any incident of threatening behaviour, violence or abuse (psychological, physical, sexual, financial or emotional) between adults who are, or who have been, intimate partners or family members, regardless of gender or sexuality. It can include forced social isolation, or abuse inflicted upon or threatened to be inflicted upon children or other family members. </w:t>
      </w:r>
      <w:r w:rsidRPr="00CD5ADB">
        <w:rPr>
          <w:rFonts w:cs="Arial"/>
          <w:lang w:eastAsia="en-US"/>
        </w:rPr>
        <w:t>3.2</w:t>
      </w:r>
      <w:r w:rsidRPr="00CD5ADB">
        <w:rPr>
          <w:rFonts w:cs="Arial"/>
          <w:lang w:eastAsia="en-US"/>
        </w:rPr>
        <w:tab/>
      </w:r>
      <w:r w:rsidR="0058273F" w:rsidRPr="00621D56">
        <w:rPr>
          <w:rFonts w:cs="Arial"/>
          <w:lang w:eastAsia="en-US"/>
        </w:rPr>
        <w:t>Most often domestic violence is committed by men against women, but it also happens in gay, lesbian, bisexual and transgender relationships. Sometimes women abuse men and sometimes other family members may be involved.</w:t>
      </w:r>
      <w:r w:rsidR="00371951">
        <w:rPr>
          <w:rFonts w:cs="Arial"/>
          <w:lang w:eastAsia="en-US"/>
        </w:rPr>
        <w:t xml:space="preserve"> </w:t>
      </w:r>
    </w:p>
    <w:p w:rsidR="00726E93" w:rsidRDefault="00726E93" w:rsidP="00393867">
      <w:pPr>
        <w:tabs>
          <w:tab w:val="num" w:pos="786"/>
        </w:tabs>
        <w:ind w:left="709" w:hanging="709"/>
        <w:jc w:val="both"/>
        <w:rPr>
          <w:rFonts w:cs="Arial"/>
          <w:lang w:eastAsia="en-US"/>
        </w:rPr>
      </w:pPr>
    </w:p>
    <w:p w:rsidR="00726E93" w:rsidRPr="004A7E6E" w:rsidRDefault="00726E93" w:rsidP="00726E93">
      <w:pPr>
        <w:ind w:left="709"/>
        <w:jc w:val="center"/>
        <w:rPr>
          <w:rFonts w:asciiTheme="minorHAnsi" w:hAnsiTheme="minorHAnsi" w:cs="Calibri"/>
        </w:rPr>
      </w:pPr>
      <w:r>
        <w:rPr>
          <w:rFonts w:cs="Arial"/>
          <w:lang w:eastAsia="en-US"/>
        </w:rPr>
        <w:t xml:space="preserve">VAWG is </w:t>
      </w:r>
      <w:r>
        <w:rPr>
          <w:rFonts w:asciiTheme="minorHAnsi" w:hAnsiTheme="minorHAnsi" w:cs="Calibri"/>
        </w:rPr>
        <w:t>“a</w:t>
      </w:r>
      <w:r w:rsidRPr="004A7E6E">
        <w:rPr>
          <w:rFonts w:asciiTheme="minorHAnsi" w:hAnsiTheme="minorHAnsi" w:cs="Calibri"/>
        </w:rPr>
        <w:t xml:space="preserve">ny act of gender based violence that results in or is likely to result in physical, sexual or psychological harm or suffering to women [or girls], including threats of such acts, coercion or arbitrary deprivation of liberty’ </w:t>
      </w:r>
    </w:p>
    <w:p w:rsidR="00726E93" w:rsidRPr="004A7E6E" w:rsidRDefault="00726E93" w:rsidP="00726E93">
      <w:pPr>
        <w:jc w:val="center"/>
        <w:rPr>
          <w:rFonts w:asciiTheme="minorHAnsi" w:hAnsiTheme="minorHAnsi" w:cs="Calibri"/>
        </w:rPr>
      </w:pPr>
    </w:p>
    <w:p w:rsidR="00726E93" w:rsidRPr="00E75FA7" w:rsidRDefault="00726E93" w:rsidP="00726E93">
      <w:pPr>
        <w:jc w:val="center"/>
        <w:rPr>
          <w:rFonts w:cs="Calibri"/>
          <w:b/>
          <w:sz w:val="16"/>
          <w:szCs w:val="16"/>
        </w:rPr>
      </w:pPr>
    </w:p>
    <w:p w:rsidR="00726E93" w:rsidRDefault="00726E93" w:rsidP="00726E93">
      <w:pPr>
        <w:tabs>
          <w:tab w:val="num" w:pos="786"/>
        </w:tabs>
        <w:ind w:left="709" w:hanging="709"/>
        <w:jc w:val="both"/>
        <w:rPr>
          <w:rFonts w:cs="Arial"/>
          <w:lang w:eastAsia="en-US"/>
        </w:rPr>
      </w:pPr>
    </w:p>
    <w:p w:rsidR="00726E93" w:rsidRPr="00CD5ADB" w:rsidRDefault="00726E93" w:rsidP="00726E93">
      <w:pPr>
        <w:tabs>
          <w:tab w:val="num" w:pos="786"/>
        </w:tabs>
        <w:ind w:left="709" w:hanging="709"/>
        <w:jc w:val="both"/>
        <w:rPr>
          <w:rFonts w:cs="Arial"/>
          <w:lang w:eastAsia="en-US"/>
        </w:rPr>
      </w:pPr>
      <w:r>
        <w:rPr>
          <w:rFonts w:cs="Arial"/>
          <w:lang w:eastAsia="en-US"/>
        </w:rPr>
        <w:tab/>
        <w:t xml:space="preserve">These include </w:t>
      </w:r>
      <w:r w:rsidRPr="00381C23">
        <w:rPr>
          <w:rFonts w:ascii="Calibri" w:hAnsi="Calibri" w:cs="Calibri"/>
          <w:b/>
          <w:lang w:eastAsia="en-US"/>
        </w:rPr>
        <w:t>Sexual Violence</w:t>
      </w:r>
      <w:r>
        <w:rPr>
          <w:rFonts w:ascii="Calibri" w:hAnsi="Calibri" w:cs="Calibri"/>
          <w:b/>
          <w:lang w:eastAsia="en-US"/>
        </w:rPr>
        <w:t>, trafficking, prostitution, child sexual exploitation including in a gang context, female genital mutilation, forced marriage, so called ‘honour’ based violence, dowry related abuse, stalking and harassment.</w:t>
      </w:r>
    </w:p>
    <w:p w:rsidR="00726E93" w:rsidRPr="00CD5ADB" w:rsidRDefault="00726E93" w:rsidP="00393867">
      <w:pPr>
        <w:tabs>
          <w:tab w:val="num" w:pos="786"/>
        </w:tabs>
        <w:ind w:left="709" w:hanging="709"/>
        <w:jc w:val="both"/>
        <w:rPr>
          <w:rFonts w:cs="Arial"/>
          <w:lang w:eastAsia="en-US"/>
        </w:rPr>
      </w:pPr>
    </w:p>
    <w:p w:rsidR="0058273F" w:rsidRPr="00CD5ADB" w:rsidRDefault="0058273F" w:rsidP="0058273F">
      <w:pPr>
        <w:jc w:val="both"/>
        <w:rPr>
          <w:rFonts w:cs="Arial"/>
          <w:lang w:eastAsia="en-US"/>
        </w:rPr>
      </w:pPr>
    </w:p>
    <w:p w:rsidR="0058273F" w:rsidRPr="00621D56" w:rsidRDefault="0058273F" w:rsidP="0058273F">
      <w:pPr>
        <w:jc w:val="both"/>
        <w:rPr>
          <w:rFonts w:cs="Arial"/>
          <w:lang w:eastAsia="en-US"/>
        </w:rPr>
      </w:pPr>
    </w:p>
    <w:p w:rsidR="00621D56" w:rsidRPr="00CD5ADB" w:rsidRDefault="00393867" w:rsidP="00393867">
      <w:pPr>
        <w:tabs>
          <w:tab w:val="right" w:leader="dot" w:pos="8647"/>
        </w:tabs>
        <w:ind w:left="284" w:hanging="284"/>
        <w:rPr>
          <w:rFonts w:cs="Arial"/>
          <w:b/>
          <w:u w:val="single"/>
          <w:lang w:eastAsia="en-US"/>
        </w:rPr>
      </w:pPr>
      <w:r w:rsidRPr="00CD5ADB">
        <w:rPr>
          <w:rFonts w:cs="Arial"/>
          <w:b/>
          <w:u w:val="single"/>
          <w:lang w:eastAsia="en-US"/>
        </w:rPr>
        <w:t>4</w:t>
      </w:r>
      <w:r w:rsidR="0058273F" w:rsidRPr="00CD5ADB">
        <w:rPr>
          <w:rFonts w:cs="Arial"/>
          <w:b/>
          <w:u w:val="single"/>
          <w:lang w:eastAsia="en-US"/>
        </w:rPr>
        <w:t xml:space="preserve">. </w:t>
      </w:r>
      <w:r w:rsidR="00EC1F40">
        <w:rPr>
          <w:rFonts w:cs="Arial"/>
          <w:b/>
          <w:u w:val="single"/>
          <w:lang w:eastAsia="en-US"/>
        </w:rPr>
        <w:t xml:space="preserve">       </w:t>
      </w:r>
      <w:r w:rsidR="0058273F" w:rsidRPr="00CD5ADB">
        <w:rPr>
          <w:rFonts w:cs="Arial"/>
          <w:b/>
          <w:u w:val="single"/>
          <w:lang w:eastAsia="en-US"/>
        </w:rPr>
        <w:t xml:space="preserve">Process and Procedure </w:t>
      </w:r>
    </w:p>
    <w:p w:rsidR="00393867" w:rsidRPr="00CD5ADB" w:rsidRDefault="00393867" w:rsidP="00393867">
      <w:pPr>
        <w:tabs>
          <w:tab w:val="right" w:leader="dot" w:pos="8647"/>
        </w:tabs>
        <w:ind w:left="284" w:hanging="284"/>
        <w:rPr>
          <w:rFonts w:cs="Arial"/>
          <w:lang w:eastAsia="en-US"/>
        </w:rPr>
      </w:pPr>
    </w:p>
    <w:p w:rsidR="00393867" w:rsidRPr="00393867" w:rsidRDefault="00393867" w:rsidP="00393867">
      <w:pPr>
        <w:rPr>
          <w:rFonts w:cs="Arial"/>
          <w:b/>
          <w:lang w:eastAsia="en-US"/>
        </w:rPr>
      </w:pPr>
      <w:r w:rsidRPr="00CD5ADB">
        <w:rPr>
          <w:rFonts w:cs="Arial"/>
          <w:b/>
          <w:lang w:eastAsia="en-US"/>
        </w:rPr>
        <w:t>4.1</w:t>
      </w:r>
      <w:r w:rsidRPr="00393867">
        <w:rPr>
          <w:rFonts w:cs="Arial"/>
          <w:b/>
          <w:lang w:eastAsia="en-US"/>
        </w:rPr>
        <w:t>.</w:t>
      </w:r>
      <w:r w:rsidRPr="00393867">
        <w:rPr>
          <w:rFonts w:cs="Arial"/>
          <w:b/>
          <w:lang w:eastAsia="en-US"/>
        </w:rPr>
        <w:tab/>
        <w:t xml:space="preserve">Responding Sensitively to Employees Experiencing Domestic </w:t>
      </w:r>
      <w:r w:rsidR="009B635A" w:rsidRPr="00CD5ADB">
        <w:rPr>
          <w:rFonts w:cs="Arial"/>
          <w:b/>
          <w:lang w:eastAsia="en-US"/>
        </w:rPr>
        <w:tab/>
      </w:r>
      <w:r w:rsidRPr="00393867">
        <w:rPr>
          <w:rFonts w:cs="Arial"/>
          <w:b/>
          <w:lang w:eastAsia="en-US"/>
        </w:rPr>
        <w:t>Violence</w:t>
      </w:r>
    </w:p>
    <w:p w:rsidR="00621D56" w:rsidRPr="00CD5ADB" w:rsidRDefault="00621D56"/>
    <w:p w:rsidR="00621D56" w:rsidRPr="00621D56" w:rsidRDefault="00393867" w:rsidP="00EC1F40">
      <w:pPr>
        <w:ind w:left="709" w:hanging="709"/>
        <w:jc w:val="both"/>
        <w:rPr>
          <w:rFonts w:cs="Arial"/>
          <w:lang w:eastAsia="en-US"/>
        </w:rPr>
      </w:pPr>
      <w:r w:rsidRPr="00CD5ADB">
        <w:rPr>
          <w:rFonts w:cs="Arial"/>
          <w:lang w:eastAsia="en-US"/>
        </w:rPr>
        <w:t>4.1.1</w:t>
      </w:r>
      <w:r w:rsidRPr="00CD5ADB">
        <w:rPr>
          <w:rFonts w:cs="Arial"/>
          <w:lang w:eastAsia="en-US"/>
        </w:rPr>
        <w:tab/>
      </w:r>
      <w:r w:rsidR="00621D56" w:rsidRPr="00621D56">
        <w:rPr>
          <w:rFonts w:cs="Arial"/>
          <w:lang w:eastAsia="en-US"/>
        </w:rPr>
        <w:t xml:space="preserve">Managers may be in the role of trying to encourage a member of staff to disclose </w:t>
      </w:r>
      <w:r w:rsidR="00726E93">
        <w:rPr>
          <w:rFonts w:cs="Arial"/>
          <w:lang w:eastAsia="en-US"/>
        </w:rPr>
        <w:t>VAWG/</w:t>
      </w:r>
      <w:r w:rsidR="00621D56" w:rsidRPr="00621D56">
        <w:rPr>
          <w:rFonts w:cs="Arial"/>
          <w:lang w:eastAsia="en-US"/>
        </w:rPr>
        <w:t>domestic violence, and need to develop a sensitive and non-judgemental approach. A member of staff may voluntarily or due to circumstances, admit a situation at home because of the effect on their attendance at work, or the fact that they have come into work with visible injuries. They may well try to play down the situation or later deny what they have said, particularly if they feel that it may be held against them or there are concerns about the risk of significant harm to a child that a manager may have a duty to report.</w:t>
      </w:r>
    </w:p>
    <w:p w:rsidR="00621D56" w:rsidRPr="00621D56" w:rsidRDefault="00621D56" w:rsidP="00621D56">
      <w:pPr>
        <w:jc w:val="both"/>
        <w:rPr>
          <w:rFonts w:cs="Arial"/>
          <w:lang w:eastAsia="en-US"/>
        </w:rPr>
      </w:pPr>
    </w:p>
    <w:p w:rsidR="00621D56" w:rsidRPr="00621D56" w:rsidRDefault="00393867" w:rsidP="00393867">
      <w:pPr>
        <w:jc w:val="both"/>
        <w:rPr>
          <w:rFonts w:cs="Arial"/>
          <w:lang w:eastAsia="en-US"/>
        </w:rPr>
      </w:pPr>
      <w:r w:rsidRPr="00CD5ADB">
        <w:rPr>
          <w:rFonts w:cs="Arial"/>
          <w:lang w:eastAsia="en-US"/>
        </w:rPr>
        <w:t>4.1.2</w:t>
      </w:r>
      <w:r w:rsidRPr="00CD5ADB">
        <w:rPr>
          <w:rFonts w:cs="Arial"/>
          <w:lang w:eastAsia="en-US"/>
        </w:rPr>
        <w:tab/>
      </w:r>
      <w:r w:rsidR="00621D56" w:rsidRPr="00621D56">
        <w:rPr>
          <w:rFonts w:cs="Arial"/>
          <w:lang w:eastAsia="en-US"/>
        </w:rPr>
        <w:t xml:space="preserve">Managers may find it helpful to consider: </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Ensuring privacy for any conversations about the issues, using an office or room where interruptions can be avoided.</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Respecting confidentiality.</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 xml:space="preserve">Being non-judgemental and sensitive. </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Understanding why someone might be reluctant to approach their line manager, and may involve a third party, such as a colleague or a Trade union representative.</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 xml:space="preserve">Additional issues faced by women because of their ethnic background, age, sexuality, class etc., but not stereotyping or making assumptions based on this. </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Offering the option of speaking to a female or male member of staff where appropriate.  It may be appropriate to involve Human Resources.</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lang w:eastAsia="en-US"/>
        </w:rPr>
      </w:pPr>
      <w:r w:rsidRPr="00621D56">
        <w:rPr>
          <w:rFonts w:cs="Arial"/>
          <w:lang w:eastAsia="en-US"/>
        </w:rPr>
        <w:t xml:space="preserve">Signposting in terms of legal rights, benefits, refuges, counselling, legal and welfare advice available through some Trade Unions and local services and how to access them.  This can enable the member of staff to make their own choices and </w:t>
      </w:r>
      <w:r w:rsidRPr="00621D56">
        <w:rPr>
          <w:rFonts w:cs="Arial"/>
          <w:lang w:eastAsia="en-US"/>
        </w:rPr>
        <w:lastRenderedPageBreak/>
        <w:t>changes in their lives, and have a positive impact on their work and safety at work.</w:t>
      </w:r>
    </w:p>
    <w:p w:rsidR="00621D56" w:rsidRPr="00621D56" w:rsidRDefault="00621D56" w:rsidP="00621D56">
      <w:pPr>
        <w:ind w:left="709"/>
        <w:jc w:val="both"/>
        <w:rPr>
          <w:rFonts w:cs="Arial"/>
          <w:lang w:eastAsia="en-US"/>
        </w:rPr>
      </w:pPr>
    </w:p>
    <w:p w:rsidR="00621D56" w:rsidRPr="00621D56" w:rsidRDefault="00621D56" w:rsidP="00621D56">
      <w:pPr>
        <w:numPr>
          <w:ilvl w:val="0"/>
          <w:numId w:val="10"/>
        </w:numPr>
        <w:jc w:val="both"/>
        <w:rPr>
          <w:rFonts w:cs="Arial"/>
          <w:b/>
          <w:lang w:eastAsia="en-US"/>
        </w:rPr>
      </w:pPr>
      <w:r w:rsidRPr="00621D56">
        <w:rPr>
          <w:rFonts w:cs="Arial"/>
          <w:lang w:eastAsia="en-US"/>
        </w:rPr>
        <w:t>Reassuring the person that what is said is kept confidential explaining that actions will need to be taken if there is anything which may put the health and well-being of children at risk or where the victim is in danger of life threatening violence.</w:t>
      </w:r>
    </w:p>
    <w:p w:rsidR="00621D56" w:rsidRPr="00621D56" w:rsidRDefault="00621D56" w:rsidP="00621D56">
      <w:pPr>
        <w:ind w:left="709"/>
        <w:jc w:val="both"/>
        <w:rPr>
          <w:rFonts w:cs="Arial"/>
          <w:b/>
          <w:lang w:eastAsia="en-US"/>
        </w:rPr>
      </w:pPr>
    </w:p>
    <w:p w:rsidR="00621D56" w:rsidRPr="00621D56" w:rsidRDefault="00621D56" w:rsidP="00621D56">
      <w:pPr>
        <w:numPr>
          <w:ilvl w:val="0"/>
          <w:numId w:val="10"/>
        </w:numPr>
        <w:jc w:val="both"/>
        <w:rPr>
          <w:rFonts w:cs="Arial"/>
          <w:b/>
          <w:lang w:eastAsia="en-US"/>
        </w:rPr>
      </w:pPr>
      <w:r w:rsidRPr="00621D56">
        <w:rPr>
          <w:rFonts w:cs="Arial"/>
          <w:lang w:eastAsia="en-US"/>
        </w:rPr>
        <w:t>How best the Council can help and what other organisations may be of assistance.</w:t>
      </w:r>
    </w:p>
    <w:p w:rsidR="00621D56" w:rsidRPr="00621D56" w:rsidRDefault="00621D56" w:rsidP="00621D56">
      <w:pPr>
        <w:ind w:left="709"/>
        <w:jc w:val="both"/>
        <w:rPr>
          <w:rFonts w:cs="Arial"/>
          <w:b/>
          <w:lang w:eastAsia="en-US"/>
        </w:rPr>
      </w:pPr>
    </w:p>
    <w:p w:rsidR="00621D56" w:rsidRPr="00621D56" w:rsidRDefault="00621D56" w:rsidP="00621D56">
      <w:pPr>
        <w:numPr>
          <w:ilvl w:val="0"/>
          <w:numId w:val="10"/>
        </w:numPr>
        <w:jc w:val="both"/>
        <w:rPr>
          <w:rFonts w:cs="Arial"/>
          <w:b/>
          <w:lang w:eastAsia="en-US"/>
        </w:rPr>
      </w:pPr>
      <w:r w:rsidRPr="00621D56">
        <w:rPr>
          <w:rFonts w:cs="Arial"/>
          <w:lang w:eastAsia="en-US"/>
        </w:rPr>
        <w:t>Suggesting that the employee can contact the Tower Hamlets domestic violence team for advice and guidance</w:t>
      </w:r>
    </w:p>
    <w:p w:rsidR="00621D56" w:rsidRPr="00621D56" w:rsidRDefault="00621D56" w:rsidP="00621D56">
      <w:pPr>
        <w:jc w:val="both"/>
        <w:rPr>
          <w:rFonts w:cs="Arial"/>
          <w:lang w:eastAsia="en-US"/>
        </w:rPr>
      </w:pPr>
    </w:p>
    <w:p w:rsidR="00621D56" w:rsidRPr="00621D56" w:rsidRDefault="00393867" w:rsidP="00393867">
      <w:pPr>
        <w:ind w:left="709" w:hanging="709"/>
        <w:jc w:val="both"/>
        <w:rPr>
          <w:rFonts w:cs="Arial"/>
          <w:lang w:eastAsia="en-US"/>
        </w:rPr>
      </w:pPr>
      <w:r w:rsidRPr="00CD5ADB">
        <w:rPr>
          <w:rFonts w:cs="Arial"/>
          <w:lang w:eastAsia="en-US"/>
        </w:rPr>
        <w:t>4.1.3</w:t>
      </w:r>
      <w:r w:rsidRPr="00CD5ADB">
        <w:rPr>
          <w:rFonts w:cs="Arial"/>
          <w:lang w:eastAsia="en-US"/>
        </w:rPr>
        <w:tab/>
      </w:r>
      <w:r w:rsidR="00621D56" w:rsidRPr="00621D56">
        <w:rPr>
          <w:rFonts w:cs="Arial"/>
          <w:lang w:eastAsia="en-US"/>
        </w:rPr>
        <w:t xml:space="preserve">Managers may discuss referring the member of staff to the Occupational Health Unit, where counselling or other support may be recommended if appropriate. Staff who are absent from work due to domestic violence will be subject to the Council’s Sickness Management Procedure and managers are expected to use meetings to offer care and support to the member of staff.   </w:t>
      </w:r>
    </w:p>
    <w:p w:rsidR="00621D56" w:rsidRPr="00621D56" w:rsidRDefault="00621D56" w:rsidP="00621D56">
      <w:pPr>
        <w:ind w:left="709"/>
        <w:jc w:val="both"/>
        <w:rPr>
          <w:rFonts w:cs="Arial"/>
          <w:lang w:eastAsia="en-US"/>
        </w:rPr>
      </w:pPr>
    </w:p>
    <w:p w:rsidR="00621D56" w:rsidRPr="00621D56" w:rsidRDefault="00393867" w:rsidP="00621D56">
      <w:pPr>
        <w:ind w:left="709" w:hanging="709"/>
        <w:jc w:val="both"/>
        <w:rPr>
          <w:rFonts w:cs="Arial"/>
          <w:szCs w:val="20"/>
        </w:rPr>
      </w:pPr>
      <w:r w:rsidRPr="00CD5ADB">
        <w:rPr>
          <w:rFonts w:cs="Arial"/>
          <w:szCs w:val="20"/>
        </w:rPr>
        <w:t>4.1.4</w:t>
      </w:r>
      <w:r w:rsidR="00621D56" w:rsidRPr="00621D56">
        <w:rPr>
          <w:rFonts w:cs="Arial"/>
          <w:szCs w:val="20"/>
        </w:rPr>
        <w:tab/>
        <w:t xml:space="preserve">Managers should consider personal circumstances when managing an employee’s sickness absence and ensure that the Council discharges its responsibilities in such cases.  Managers should refer to the Council’s guidance/policy documents and seek advice from their HR &amp; WD Business Partner. </w:t>
      </w:r>
    </w:p>
    <w:p w:rsidR="00621D56" w:rsidRPr="00621D56" w:rsidRDefault="00621D56" w:rsidP="00621D56">
      <w:pPr>
        <w:ind w:left="709" w:hanging="709"/>
        <w:jc w:val="both"/>
        <w:rPr>
          <w:rFonts w:cs="Arial"/>
          <w:szCs w:val="20"/>
        </w:rPr>
      </w:pPr>
    </w:p>
    <w:p w:rsidR="00621D56" w:rsidRPr="00621D56" w:rsidRDefault="00393867" w:rsidP="00621D56">
      <w:pPr>
        <w:ind w:left="709" w:hanging="709"/>
        <w:jc w:val="both"/>
        <w:rPr>
          <w:rFonts w:cs="Arial"/>
          <w:szCs w:val="20"/>
        </w:rPr>
      </w:pPr>
      <w:r w:rsidRPr="00CD5ADB">
        <w:rPr>
          <w:rFonts w:cs="Arial"/>
          <w:szCs w:val="20"/>
        </w:rPr>
        <w:t>4.1.5</w:t>
      </w:r>
      <w:r w:rsidR="00621D56" w:rsidRPr="00621D56">
        <w:rPr>
          <w:rFonts w:cs="Arial"/>
          <w:szCs w:val="20"/>
        </w:rPr>
        <w:tab/>
        <w:t xml:space="preserve">Perpetrators of </w:t>
      </w:r>
      <w:r w:rsidR="00726E93">
        <w:rPr>
          <w:rFonts w:cs="Arial"/>
          <w:szCs w:val="20"/>
        </w:rPr>
        <w:t>VAWG/</w:t>
      </w:r>
      <w:r w:rsidR="00621D56" w:rsidRPr="00621D56">
        <w:rPr>
          <w:rFonts w:cs="Arial"/>
          <w:szCs w:val="20"/>
        </w:rPr>
        <w:t>domestic violence may, on occasions, make allegations against the employee with a view to the Council initiating disciplinary action. Accordingly managers should be mindful that this could be a deliberate strategy to inflict harm and that more detailed informal enquiries may be required before considering initiating disciplinary action.</w:t>
      </w:r>
    </w:p>
    <w:p w:rsidR="00621D56" w:rsidRPr="00621D56" w:rsidRDefault="00621D56" w:rsidP="00621D56">
      <w:pPr>
        <w:ind w:left="709" w:hanging="709"/>
        <w:jc w:val="both"/>
        <w:rPr>
          <w:rFonts w:cs="Arial"/>
          <w:szCs w:val="20"/>
        </w:rPr>
      </w:pPr>
    </w:p>
    <w:p w:rsidR="00621D56" w:rsidRPr="00621D56" w:rsidRDefault="00393867" w:rsidP="00621D56">
      <w:pPr>
        <w:ind w:left="709" w:hanging="709"/>
        <w:rPr>
          <w:rFonts w:cs="Arial"/>
        </w:rPr>
      </w:pPr>
      <w:r w:rsidRPr="00CD5ADB">
        <w:rPr>
          <w:rFonts w:cs="Arial"/>
          <w:szCs w:val="20"/>
        </w:rPr>
        <w:t>4.1.6</w:t>
      </w:r>
      <w:r w:rsidR="00621D56" w:rsidRPr="00621D56">
        <w:rPr>
          <w:rFonts w:cs="Arial"/>
          <w:szCs w:val="20"/>
        </w:rPr>
        <w:tab/>
        <w:t xml:space="preserve">The Council recognises the impact </w:t>
      </w:r>
      <w:proofErr w:type="gramStart"/>
      <w:r w:rsidR="00621D56" w:rsidRPr="00621D56">
        <w:rPr>
          <w:rFonts w:cs="Arial"/>
          <w:szCs w:val="20"/>
        </w:rPr>
        <w:t>of</w:t>
      </w:r>
      <w:r w:rsidR="00726E93">
        <w:rPr>
          <w:rFonts w:cs="Arial"/>
          <w:szCs w:val="20"/>
        </w:rPr>
        <w:t xml:space="preserve">  VAWG</w:t>
      </w:r>
      <w:proofErr w:type="gramEnd"/>
      <w:r w:rsidR="00726E93">
        <w:rPr>
          <w:rFonts w:cs="Arial"/>
          <w:szCs w:val="20"/>
        </w:rPr>
        <w:t>/</w:t>
      </w:r>
      <w:r w:rsidR="00621D56" w:rsidRPr="00621D56">
        <w:rPr>
          <w:rFonts w:cs="Arial"/>
          <w:szCs w:val="20"/>
        </w:rPr>
        <w:t>domestic violence on an employee’s abilities to carry out their duties, attend work regularly and maintain good working relationships with colleagues. The Council fully accepts its responsibility to safeguard the individual as well as fellow employees.</w:t>
      </w:r>
      <w:r w:rsidR="00621D56" w:rsidRPr="00621D56">
        <w:rPr>
          <w:rFonts w:cs="Arial"/>
        </w:rPr>
        <w:t xml:space="preserve"> </w:t>
      </w:r>
    </w:p>
    <w:p w:rsidR="00621D56" w:rsidRPr="00621D56" w:rsidRDefault="00621D56" w:rsidP="00621D56">
      <w:pPr>
        <w:jc w:val="both"/>
        <w:rPr>
          <w:rFonts w:cs="Arial"/>
          <w:lang w:eastAsia="en-US"/>
        </w:rPr>
      </w:pPr>
    </w:p>
    <w:p w:rsidR="00621D56" w:rsidRPr="00621D56" w:rsidRDefault="00621D56" w:rsidP="00621D56">
      <w:pPr>
        <w:keepNext/>
        <w:ind w:left="360" w:hanging="360"/>
        <w:outlineLvl w:val="2"/>
        <w:rPr>
          <w:rFonts w:cs="Arial"/>
          <w:b/>
          <w:lang w:eastAsia="en-US"/>
        </w:rPr>
      </w:pPr>
      <w:bookmarkStart w:id="1" w:name="_Toc202252849"/>
      <w:r w:rsidRPr="00621D56">
        <w:rPr>
          <w:rFonts w:cs="Arial"/>
          <w:b/>
          <w:lang w:eastAsia="en-US"/>
        </w:rPr>
        <w:t>4.</w:t>
      </w:r>
      <w:r w:rsidR="00393867" w:rsidRPr="00CD5ADB">
        <w:rPr>
          <w:rFonts w:cs="Arial"/>
          <w:b/>
          <w:lang w:eastAsia="en-US"/>
        </w:rPr>
        <w:t>2</w:t>
      </w:r>
      <w:r w:rsidR="00393867" w:rsidRPr="00CD5ADB">
        <w:rPr>
          <w:rFonts w:cs="Arial"/>
          <w:b/>
          <w:lang w:eastAsia="en-US"/>
        </w:rPr>
        <w:tab/>
      </w:r>
      <w:r w:rsidRPr="00621D56">
        <w:rPr>
          <w:rFonts w:cs="Arial"/>
          <w:b/>
          <w:lang w:eastAsia="en-US"/>
        </w:rPr>
        <w:tab/>
      </w:r>
      <w:bookmarkEnd w:id="1"/>
      <w:r w:rsidRPr="00621D56">
        <w:rPr>
          <w:rFonts w:cs="Arial"/>
          <w:b/>
          <w:lang w:eastAsia="en-US"/>
        </w:rPr>
        <w:t>Practical Measures to Consider With the Employee at Risk</w:t>
      </w:r>
    </w:p>
    <w:p w:rsidR="00621D56" w:rsidRPr="00621D56" w:rsidRDefault="00621D56" w:rsidP="00621D56">
      <w:pPr>
        <w:jc w:val="both"/>
        <w:rPr>
          <w:rFonts w:cs="Arial"/>
          <w:lang w:eastAsia="en-US"/>
        </w:rPr>
      </w:pPr>
    </w:p>
    <w:p w:rsidR="00621D56" w:rsidRPr="00621D56" w:rsidRDefault="00393867" w:rsidP="009B635A">
      <w:pPr>
        <w:ind w:left="709" w:hanging="709"/>
        <w:jc w:val="both"/>
        <w:rPr>
          <w:rFonts w:cs="Arial"/>
          <w:lang w:eastAsia="en-US"/>
        </w:rPr>
      </w:pPr>
      <w:r w:rsidRPr="00CD5ADB">
        <w:rPr>
          <w:rFonts w:cs="Arial"/>
          <w:lang w:eastAsia="en-US"/>
        </w:rPr>
        <w:t>4.2.1</w:t>
      </w:r>
      <w:r w:rsidRPr="00CD5ADB">
        <w:rPr>
          <w:rFonts w:cs="Arial"/>
          <w:lang w:eastAsia="en-US"/>
        </w:rPr>
        <w:tab/>
      </w:r>
      <w:r w:rsidR="00621D56" w:rsidRPr="00621D56">
        <w:rPr>
          <w:rFonts w:cs="Arial"/>
          <w:lang w:eastAsia="en-US"/>
        </w:rPr>
        <w:t xml:space="preserve">The Manager should carry out a risk assessment with the member of staff, and consider any changes that might be appropriate.  For example: </w:t>
      </w:r>
    </w:p>
    <w:p w:rsidR="00621D56" w:rsidRPr="00621D56" w:rsidRDefault="00621D56" w:rsidP="009B635A">
      <w:pPr>
        <w:ind w:left="709" w:hanging="709"/>
        <w:jc w:val="both"/>
        <w:rPr>
          <w:rFonts w:cs="Arial"/>
          <w:lang w:eastAsia="en-US"/>
        </w:rPr>
      </w:pPr>
    </w:p>
    <w:p w:rsidR="00621D56" w:rsidRPr="00621D56" w:rsidRDefault="00621D56" w:rsidP="009B635A">
      <w:pPr>
        <w:numPr>
          <w:ilvl w:val="0"/>
          <w:numId w:val="11"/>
        </w:numPr>
        <w:ind w:left="1134" w:hanging="425"/>
        <w:jc w:val="both"/>
        <w:rPr>
          <w:rFonts w:cs="Arial"/>
          <w:b/>
          <w:lang w:eastAsia="en-US"/>
        </w:rPr>
      </w:pPr>
      <w:r w:rsidRPr="00621D56">
        <w:rPr>
          <w:rFonts w:cs="Arial"/>
          <w:lang w:eastAsia="en-US"/>
        </w:rPr>
        <w:t>Offering temporary changes in workplace, work times and patterns, which can reduce the level of risk for the member of staff at work and on their journeys to and from the workplace.</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lastRenderedPageBreak/>
        <w:t>Offering short term help such as accompanying them to the bus stop, phoning to check that they arrived home safely etc.</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t>Job redeployment, or changes in specific duties, such as whether to answer phones, work in isolated situations or staff reception areas, or carry out duties that would put the member of staff at a higher risk of injury.</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t xml:space="preserve">Discussing practicalities: how will calls from the perpetrator will be dealt with? </w:t>
      </w:r>
      <w:r w:rsidRPr="00621D56">
        <w:rPr>
          <w:rFonts w:cs="Arial"/>
          <w:color w:val="FF0000"/>
          <w:lang w:eastAsia="en-US"/>
        </w:rPr>
        <w:t xml:space="preserve"> </w:t>
      </w:r>
      <w:r w:rsidRPr="00621D56">
        <w:rPr>
          <w:rFonts w:cs="Arial"/>
          <w:lang w:eastAsia="en-US"/>
        </w:rPr>
        <w:t>Agreeing with the consent of the victim what to tell colleagues. For example how they should respond if the perpetrator rings or calls at the workplace, how to alert colleagues of a problem (e.g. alarms), etc.</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t>Recommend referral to the Occupational Health Unit.</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t>Ensuring that the member of staff is aware of external sources of advice and support.</w:t>
      </w:r>
    </w:p>
    <w:p w:rsidR="00621D56" w:rsidRPr="00621D56" w:rsidRDefault="00621D56" w:rsidP="009B635A">
      <w:pPr>
        <w:numPr>
          <w:ilvl w:val="0"/>
          <w:numId w:val="11"/>
        </w:numPr>
        <w:ind w:left="1134" w:hanging="425"/>
        <w:jc w:val="both"/>
        <w:rPr>
          <w:rFonts w:cs="Arial"/>
          <w:lang w:eastAsia="en-US"/>
        </w:rPr>
      </w:pPr>
      <w:r w:rsidRPr="00621D56">
        <w:rPr>
          <w:rFonts w:cs="Arial"/>
          <w:lang w:eastAsia="en-US"/>
        </w:rPr>
        <w:t>Consider granting Special Leave. Seek advice from your HR &amp; WD Business Partner about this issue.</w:t>
      </w:r>
    </w:p>
    <w:p w:rsidR="00621D56" w:rsidRPr="00621D56" w:rsidRDefault="00621D56" w:rsidP="009B635A">
      <w:pPr>
        <w:ind w:left="709" w:hanging="709"/>
        <w:jc w:val="both"/>
        <w:rPr>
          <w:rFonts w:ascii="Times New Roman" w:hAnsi="Times New Roman"/>
          <w:sz w:val="20"/>
          <w:szCs w:val="20"/>
          <w:lang w:eastAsia="en-US"/>
        </w:rPr>
      </w:pPr>
    </w:p>
    <w:p w:rsidR="00621D56" w:rsidRPr="00C935D9" w:rsidRDefault="00393867" w:rsidP="009B635A">
      <w:pPr>
        <w:ind w:left="709" w:hanging="709"/>
        <w:jc w:val="both"/>
        <w:rPr>
          <w:rFonts w:cs="Arial"/>
          <w:b/>
          <w:color w:val="FF0000"/>
          <w:lang w:eastAsia="en-US"/>
        </w:rPr>
      </w:pPr>
      <w:r w:rsidRPr="00CD5ADB">
        <w:rPr>
          <w:rFonts w:cs="Arial"/>
          <w:lang w:eastAsia="en-US"/>
        </w:rPr>
        <w:t>4.2.2</w:t>
      </w:r>
      <w:r w:rsidR="009B635A" w:rsidRPr="00CD5ADB">
        <w:rPr>
          <w:rFonts w:cs="Arial"/>
          <w:lang w:eastAsia="en-US"/>
        </w:rPr>
        <w:tab/>
      </w:r>
      <w:r w:rsidR="00621D56" w:rsidRPr="00621D56">
        <w:rPr>
          <w:rFonts w:cs="Arial"/>
          <w:lang w:eastAsia="en-US"/>
        </w:rPr>
        <w:t xml:space="preserve">Where an alleged perpetrator is employed by the Council, your HR and WD Business Partner should be informed to allow consideration of HR action (including disciplinary action potentially resulting in dismissal) in respect of the alleged perpetrator. </w:t>
      </w:r>
      <w:r w:rsidR="00C935D9">
        <w:rPr>
          <w:rFonts w:cs="Arial"/>
          <w:b/>
          <w:color w:val="FF0000"/>
          <w:lang w:eastAsia="en-US"/>
        </w:rPr>
        <w:t>However, under no circumstances should you attempt to mediate between parties or discuss the disclosure with the alleged perpetrator.</w:t>
      </w:r>
    </w:p>
    <w:p w:rsidR="00621D56" w:rsidRPr="00621D56" w:rsidRDefault="00621D56" w:rsidP="00621D56">
      <w:pPr>
        <w:rPr>
          <w:rFonts w:ascii="Times New Roman" w:hAnsi="Times New Roman"/>
          <w:sz w:val="20"/>
          <w:szCs w:val="20"/>
          <w:lang w:eastAsia="en-US"/>
        </w:rPr>
      </w:pPr>
    </w:p>
    <w:p w:rsidR="00621D56" w:rsidRPr="00621D56" w:rsidRDefault="00393867" w:rsidP="00621D56">
      <w:pPr>
        <w:keepNext/>
        <w:ind w:left="360" w:hanging="360"/>
        <w:outlineLvl w:val="2"/>
        <w:rPr>
          <w:rFonts w:cs="Arial"/>
          <w:b/>
          <w:lang w:eastAsia="en-US"/>
        </w:rPr>
      </w:pPr>
      <w:r w:rsidRPr="00CD5ADB">
        <w:rPr>
          <w:rFonts w:cs="Arial"/>
          <w:b/>
          <w:lang w:eastAsia="en-US"/>
        </w:rPr>
        <w:t>4.3</w:t>
      </w:r>
      <w:r w:rsidRPr="00CD5ADB">
        <w:rPr>
          <w:rFonts w:cs="Arial"/>
          <w:b/>
          <w:lang w:eastAsia="en-US"/>
        </w:rPr>
        <w:tab/>
      </w:r>
      <w:r w:rsidR="009B635A" w:rsidRPr="00CD5ADB">
        <w:rPr>
          <w:rFonts w:cs="Arial"/>
          <w:b/>
          <w:lang w:eastAsia="en-US"/>
        </w:rPr>
        <w:tab/>
      </w:r>
      <w:r w:rsidR="00621D56" w:rsidRPr="00621D56">
        <w:rPr>
          <w:rFonts w:cs="Arial"/>
          <w:b/>
          <w:lang w:eastAsia="en-US"/>
        </w:rPr>
        <w:t>General Safety Issues</w:t>
      </w:r>
    </w:p>
    <w:p w:rsidR="00621D56" w:rsidRPr="00621D56" w:rsidRDefault="00621D56" w:rsidP="00621D56">
      <w:pPr>
        <w:jc w:val="both"/>
        <w:rPr>
          <w:rFonts w:cs="Arial"/>
          <w:lang w:eastAsia="en-US"/>
        </w:rPr>
      </w:pPr>
    </w:p>
    <w:p w:rsidR="00621D56" w:rsidRPr="00621D56" w:rsidRDefault="00393867" w:rsidP="00621D56">
      <w:pPr>
        <w:ind w:left="709" w:hanging="709"/>
        <w:jc w:val="both"/>
        <w:rPr>
          <w:rFonts w:cs="Arial"/>
          <w:lang w:eastAsia="en-US"/>
        </w:rPr>
      </w:pPr>
      <w:r w:rsidRPr="00CD5ADB">
        <w:rPr>
          <w:rFonts w:cs="Arial"/>
          <w:lang w:eastAsia="en-US"/>
        </w:rPr>
        <w:t>4.3.1</w:t>
      </w:r>
      <w:r w:rsidR="00621D56" w:rsidRPr="00621D56">
        <w:rPr>
          <w:rFonts w:cs="Arial"/>
          <w:lang w:eastAsia="en-US"/>
        </w:rPr>
        <w:tab/>
        <w:t xml:space="preserve">Management should ensure that all staff </w:t>
      </w:r>
      <w:proofErr w:type="gramStart"/>
      <w:r w:rsidR="00621D56" w:rsidRPr="00621D56">
        <w:rPr>
          <w:rFonts w:cs="Arial"/>
          <w:lang w:eastAsia="en-US"/>
        </w:rPr>
        <w:t>are</w:t>
      </w:r>
      <w:proofErr w:type="gramEnd"/>
      <w:r w:rsidR="00621D56" w:rsidRPr="00621D56">
        <w:rPr>
          <w:rFonts w:cs="Arial"/>
          <w:lang w:eastAsia="en-US"/>
        </w:rPr>
        <w:t xml:space="preserve"> aware that personal information should not be given to anyone phoning or visiting the workplace.</w:t>
      </w:r>
    </w:p>
    <w:p w:rsidR="00621D56" w:rsidRPr="00621D56" w:rsidRDefault="00621D56" w:rsidP="00621D56">
      <w:pPr>
        <w:jc w:val="both"/>
        <w:rPr>
          <w:rFonts w:cs="Arial"/>
          <w:lang w:eastAsia="en-US"/>
        </w:rPr>
      </w:pPr>
    </w:p>
    <w:p w:rsidR="00621D56" w:rsidRPr="00621D56" w:rsidRDefault="00393867" w:rsidP="00621D56">
      <w:pPr>
        <w:ind w:left="709" w:hanging="709"/>
        <w:jc w:val="both"/>
        <w:rPr>
          <w:rFonts w:cs="Arial"/>
          <w:lang w:eastAsia="en-US"/>
        </w:rPr>
      </w:pPr>
      <w:r w:rsidRPr="00CD5ADB">
        <w:rPr>
          <w:rFonts w:cs="Arial"/>
          <w:lang w:eastAsia="en-US"/>
        </w:rPr>
        <w:t>4.3.2</w:t>
      </w:r>
      <w:r w:rsidR="00621D56" w:rsidRPr="00621D56">
        <w:rPr>
          <w:rFonts w:cs="Arial"/>
          <w:lang w:eastAsia="en-US"/>
        </w:rPr>
        <w:tab/>
        <w:t>Regularly review whether security measures such as keypads or access   procedures need to be changed in case the access codes have become known.</w:t>
      </w:r>
    </w:p>
    <w:p w:rsidR="00621D56" w:rsidRPr="00621D56" w:rsidRDefault="00621D56" w:rsidP="00621D56">
      <w:pPr>
        <w:jc w:val="both"/>
        <w:rPr>
          <w:rFonts w:cs="Arial"/>
          <w:lang w:eastAsia="en-US"/>
        </w:rPr>
      </w:pPr>
    </w:p>
    <w:p w:rsidR="00621D56" w:rsidRPr="00621D56" w:rsidRDefault="00393867" w:rsidP="00621D56">
      <w:pPr>
        <w:ind w:left="720" w:hanging="720"/>
        <w:jc w:val="both"/>
        <w:rPr>
          <w:rFonts w:cs="Arial"/>
          <w:lang w:eastAsia="en-US"/>
        </w:rPr>
      </w:pPr>
      <w:r w:rsidRPr="00CD5ADB">
        <w:rPr>
          <w:rFonts w:cs="Arial"/>
          <w:lang w:eastAsia="en-US"/>
        </w:rPr>
        <w:t>4.3.3</w:t>
      </w:r>
      <w:r w:rsidR="00621D56" w:rsidRPr="00621D56">
        <w:rPr>
          <w:rFonts w:cs="Arial"/>
          <w:lang w:eastAsia="en-US"/>
        </w:rPr>
        <w:tab/>
        <w:t>N</w:t>
      </w:r>
      <w:r w:rsidR="00C935D9">
        <w:rPr>
          <w:rFonts w:cs="Arial"/>
          <w:lang w:eastAsia="en-US"/>
        </w:rPr>
        <w:t xml:space="preserve">oting and recording where </w:t>
      </w:r>
      <w:proofErr w:type="spellStart"/>
      <w:r w:rsidR="00C935D9">
        <w:rPr>
          <w:rFonts w:cs="Arial"/>
          <w:lang w:eastAsia="en-US"/>
        </w:rPr>
        <w:t>staff</w:t>
      </w:r>
      <w:r w:rsidR="00621D56" w:rsidRPr="00621D56">
        <w:rPr>
          <w:rFonts w:cs="Arial"/>
          <w:lang w:eastAsia="en-US"/>
        </w:rPr>
        <w:t>are</w:t>
      </w:r>
      <w:proofErr w:type="spellEnd"/>
      <w:r w:rsidR="00621D56" w:rsidRPr="00621D56">
        <w:rPr>
          <w:rFonts w:cs="Arial"/>
          <w:lang w:eastAsia="en-US"/>
        </w:rPr>
        <w:t xml:space="preserve"> located during the day, particularly if work duties include spending a lot of time out of the workplace. </w:t>
      </w:r>
    </w:p>
    <w:p w:rsidR="00621D56" w:rsidRPr="00621D56" w:rsidRDefault="00621D56" w:rsidP="00621D56">
      <w:pPr>
        <w:jc w:val="both"/>
        <w:rPr>
          <w:rFonts w:cs="Arial"/>
          <w:lang w:eastAsia="en-US"/>
        </w:rPr>
      </w:pPr>
    </w:p>
    <w:p w:rsidR="00621D56" w:rsidRPr="00621D56" w:rsidRDefault="00393867" w:rsidP="00621D56">
      <w:pPr>
        <w:ind w:left="720" w:hanging="720"/>
        <w:jc w:val="both"/>
        <w:rPr>
          <w:rFonts w:cs="Arial"/>
          <w:lang w:eastAsia="en-US"/>
        </w:rPr>
      </w:pPr>
      <w:r w:rsidRPr="00CD5ADB">
        <w:rPr>
          <w:rFonts w:cs="Arial"/>
          <w:lang w:eastAsia="en-US"/>
        </w:rPr>
        <w:t>4.3.4</w:t>
      </w:r>
      <w:r w:rsidR="00621D56" w:rsidRPr="00621D56">
        <w:rPr>
          <w:rFonts w:cs="Arial"/>
          <w:lang w:eastAsia="en-US"/>
        </w:rPr>
        <w:tab/>
        <w:t>The Council is committed to ensuring that practical support is made available, subject to the needs of the service and will encourage managers to adopt a sensitive, flexible and pragmatic approach to meeting the needs of employees who have caring responsibilities in accordance with their individual circumstances.</w:t>
      </w:r>
    </w:p>
    <w:p w:rsidR="00621D56" w:rsidRPr="00621D56" w:rsidRDefault="00621D56" w:rsidP="00621D56">
      <w:pPr>
        <w:ind w:left="720" w:hanging="720"/>
        <w:jc w:val="both"/>
        <w:rPr>
          <w:rFonts w:cs="Arial"/>
          <w:lang w:eastAsia="en-US"/>
        </w:rPr>
      </w:pPr>
    </w:p>
    <w:p w:rsidR="00621D56" w:rsidRPr="00621D56" w:rsidRDefault="00621D56" w:rsidP="00621D56">
      <w:pPr>
        <w:ind w:left="720" w:hanging="720"/>
        <w:jc w:val="both"/>
        <w:rPr>
          <w:rFonts w:cs="Arial"/>
          <w:lang w:eastAsia="en-US"/>
        </w:rPr>
      </w:pPr>
    </w:p>
    <w:p w:rsidR="00393867" w:rsidRPr="00EC1F40" w:rsidRDefault="00393867" w:rsidP="0058273F">
      <w:pPr>
        <w:tabs>
          <w:tab w:val="right" w:leader="dot" w:pos="9356"/>
        </w:tabs>
        <w:ind w:right="-1333"/>
        <w:rPr>
          <w:rFonts w:cs="Arial"/>
          <w:b/>
          <w:u w:val="single"/>
          <w:lang w:eastAsia="en-US"/>
        </w:rPr>
      </w:pPr>
      <w:r w:rsidRPr="00EC1F40">
        <w:rPr>
          <w:rFonts w:cs="Arial"/>
          <w:b/>
          <w:u w:val="single"/>
          <w:lang w:eastAsia="en-US"/>
        </w:rPr>
        <w:t>5</w:t>
      </w:r>
      <w:r w:rsidR="0058273F" w:rsidRPr="00EC1F40">
        <w:rPr>
          <w:rFonts w:cs="Arial"/>
          <w:b/>
          <w:u w:val="single"/>
          <w:lang w:eastAsia="en-US"/>
        </w:rPr>
        <w:t xml:space="preserve">. </w:t>
      </w:r>
      <w:r w:rsidR="00EC1F40">
        <w:rPr>
          <w:rFonts w:cs="Arial"/>
          <w:b/>
          <w:u w:val="single"/>
          <w:lang w:eastAsia="en-US"/>
        </w:rPr>
        <w:t xml:space="preserve">     </w:t>
      </w:r>
      <w:r w:rsidR="0058273F" w:rsidRPr="00EC1F40">
        <w:rPr>
          <w:rFonts w:cs="Arial"/>
          <w:b/>
          <w:u w:val="single"/>
          <w:lang w:eastAsia="en-US"/>
        </w:rPr>
        <w:t xml:space="preserve">Monitoring </w:t>
      </w:r>
    </w:p>
    <w:p w:rsidR="00393867" w:rsidRPr="00CD5ADB" w:rsidRDefault="00393867" w:rsidP="0058273F">
      <w:pPr>
        <w:tabs>
          <w:tab w:val="right" w:leader="dot" w:pos="9356"/>
        </w:tabs>
        <w:ind w:right="-1333"/>
        <w:rPr>
          <w:rFonts w:cs="Arial"/>
          <w:lang w:eastAsia="en-US"/>
        </w:rPr>
      </w:pPr>
    </w:p>
    <w:p w:rsidR="00621D56" w:rsidRPr="00621D56" w:rsidRDefault="009B635A" w:rsidP="00621D56">
      <w:pPr>
        <w:ind w:left="720" w:hanging="720"/>
        <w:jc w:val="both"/>
        <w:rPr>
          <w:rFonts w:cs="Arial"/>
          <w:lang w:eastAsia="en-US"/>
        </w:rPr>
      </w:pPr>
      <w:r w:rsidRPr="00CD5ADB">
        <w:rPr>
          <w:rFonts w:cs="Arial"/>
          <w:lang w:eastAsia="en-US"/>
        </w:rPr>
        <w:t>5</w:t>
      </w:r>
      <w:r w:rsidR="00621D56" w:rsidRPr="00621D56">
        <w:rPr>
          <w:rFonts w:cs="Arial"/>
          <w:lang w:eastAsia="en-US"/>
        </w:rPr>
        <w:t xml:space="preserve">.1   The Council will </w:t>
      </w:r>
      <w:r w:rsidR="00393867" w:rsidRPr="00CD5ADB">
        <w:rPr>
          <w:rFonts w:cs="Arial"/>
          <w:lang w:eastAsia="en-US"/>
        </w:rPr>
        <w:t>monitor how effectively this policy works and will</w:t>
      </w:r>
      <w:r w:rsidR="00621D56" w:rsidRPr="00621D56">
        <w:rPr>
          <w:rFonts w:cs="Arial"/>
          <w:lang w:eastAsia="en-US"/>
        </w:rPr>
        <w:t xml:space="preserve"> review this policy </w:t>
      </w:r>
      <w:r w:rsidR="00393867" w:rsidRPr="00CD5ADB">
        <w:rPr>
          <w:rFonts w:cs="Arial"/>
          <w:lang w:eastAsia="en-US"/>
        </w:rPr>
        <w:t>annually</w:t>
      </w:r>
      <w:r w:rsidR="00EC1F40">
        <w:rPr>
          <w:rFonts w:cs="Arial"/>
          <w:lang w:eastAsia="en-US"/>
        </w:rPr>
        <w:t>.</w:t>
      </w:r>
      <w:r w:rsidR="00393867" w:rsidRPr="00CD5ADB">
        <w:rPr>
          <w:rFonts w:cs="Arial"/>
          <w:lang w:eastAsia="en-US"/>
        </w:rPr>
        <w:t xml:space="preserve"> </w:t>
      </w:r>
    </w:p>
    <w:p w:rsidR="00621D56" w:rsidRPr="00621D56" w:rsidRDefault="00621D56" w:rsidP="00621D56">
      <w:pPr>
        <w:ind w:left="720" w:hanging="720"/>
        <w:jc w:val="both"/>
        <w:rPr>
          <w:rFonts w:cs="Arial"/>
          <w:lang w:eastAsia="en-US"/>
        </w:rPr>
      </w:pPr>
    </w:p>
    <w:p w:rsidR="000431EC" w:rsidRDefault="000431EC" w:rsidP="0058273F">
      <w:pPr>
        <w:tabs>
          <w:tab w:val="right" w:leader="dot" w:pos="9356"/>
        </w:tabs>
        <w:ind w:right="-1333"/>
        <w:rPr>
          <w:rFonts w:cs="Arial"/>
          <w:b/>
          <w:u w:val="single"/>
          <w:lang w:eastAsia="en-US"/>
        </w:rPr>
      </w:pPr>
    </w:p>
    <w:p w:rsidR="000431EC" w:rsidRDefault="000431EC" w:rsidP="0058273F">
      <w:pPr>
        <w:tabs>
          <w:tab w:val="right" w:leader="dot" w:pos="9356"/>
        </w:tabs>
        <w:ind w:right="-1333"/>
        <w:rPr>
          <w:rFonts w:cs="Arial"/>
          <w:b/>
          <w:u w:val="single"/>
          <w:lang w:eastAsia="en-US"/>
        </w:rPr>
      </w:pPr>
    </w:p>
    <w:p w:rsidR="000431EC" w:rsidRDefault="000431EC" w:rsidP="0058273F">
      <w:pPr>
        <w:tabs>
          <w:tab w:val="right" w:leader="dot" w:pos="9356"/>
        </w:tabs>
        <w:ind w:right="-1333"/>
        <w:rPr>
          <w:rFonts w:cs="Arial"/>
          <w:b/>
          <w:u w:val="single"/>
          <w:lang w:eastAsia="en-US"/>
        </w:rPr>
      </w:pPr>
    </w:p>
    <w:p w:rsidR="0058273F" w:rsidRPr="00EC1F40" w:rsidRDefault="009B635A" w:rsidP="0058273F">
      <w:pPr>
        <w:tabs>
          <w:tab w:val="right" w:leader="dot" w:pos="9356"/>
        </w:tabs>
        <w:ind w:right="-1333"/>
        <w:rPr>
          <w:rFonts w:cs="Arial"/>
          <w:b/>
          <w:u w:val="single"/>
          <w:lang w:eastAsia="en-US"/>
        </w:rPr>
      </w:pPr>
      <w:r w:rsidRPr="00EC1F40">
        <w:rPr>
          <w:rFonts w:cs="Arial"/>
          <w:b/>
          <w:u w:val="single"/>
          <w:lang w:eastAsia="en-US"/>
        </w:rPr>
        <w:t>6</w:t>
      </w:r>
      <w:r w:rsidR="0058273F" w:rsidRPr="00EC1F40">
        <w:rPr>
          <w:rFonts w:cs="Arial"/>
          <w:b/>
          <w:u w:val="single"/>
          <w:lang w:eastAsia="en-US"/>
        </w:rPr>
        <w:t xml:space="preserve">. </w:t>
      </w:r>
      <w:r w:rsidR="00EC1F40">
        <w:rPr>
          <w:rFonts w:cs="Arial"/>
          <w:b/>
          <w:u w:val="single"/>
          <w:lang w:eastAsia="en-US"/>
        </w:rPr>
        <w:t xml:space="preserve">     </w:t>
      </w:r>
      <w:r w:rsidR="0058273F" w:rsidRPr="00EC1F40">
        <w:rPr>
          <w:rFonts w:cs="Arial"/>
          <w:b/>
          <w:u w:val="single"/>
          <w:lang w:eastAsia="en-US"/>
        </w:rPr>
        <w:t xml:space="preserve">Further Information </w:t>
      </w:r>
    </w:p>
    <w:p w:rsidR="00621D56" w:rsidRPr="00621D56" w:rsidRDefault="00621D56" w:rsidP="00621D56">
      <w:pPr>
        <w:ind w:left="720" w:hanging="720"/>
        <w:jc w:val="both"/>
        <w:rPr>
          <w:rFonts w:cs="Arial"/>
          <w:b/>
          <w:u w:val="single"/>
          <w:lang w:eastAsia="en-US"/>
        </w:rPr>
      </w:pPr>
    </w:p>
    <w:p w:rsidR="00621D56" w:rsidRPr="00621D56" w:rsidRDefault="00621D56" w:rsidP="00621D56">
      <w:pPr>
        <w:ind w:left="720" w:hanging="720"/>
        <w:jc w:val="both"/>
        <w:rPr>
          <w:rFonts w:cs="Arial"/>
          <w:b/>
          <w:u w:val="single"/>
          <w:lang w:eastAsia="en-US"/>
        </w:rPr>
      </w:pPr>
    </w:p>
    <w:p w:rsidR="00621D56" w:rsidRPr="00AC3280" w:rsidRDefault="00621D56" w:rsidP="00621D56">
      <w:pPr>
        <w:jc w:val="both"/>
        <w:rPr>
          <w:rFonts w:cs="Arial"/>
          <w:b/>
          <w:lang w:eastAsia="en-US"/>
        </w:rPr>
      </w:pPr>
      <w:r w:rsidRPr="00AC3280">
        <w:rPr>
          <w:rFonts w:cs="Arial"/>
          <w:b/>
          <w:lang w:eastAsia="en-US"/>
        </w:rPr>
        <w:t>External Support Agencies:</w:t>
      </w:r>
    </w:p>
    <w:p w:rsidR="00621D56" w:rsidRPr="00AC3280" w:rsidRDefault="00621D56" w:rsidP="00621D56">
      <w:pPr>
        <w:jc w:val="both"/>
        <w:rPr>
          <w:rFonts w:cs="Arial"/>
          <w:b/>
          <w:lang w:eastAsia="en-US"/>
        </w:rPr>
      </w:pPr>
    </w:p>
    <w:p w:rsidR="00623F09" w:rsidRPr="00AC3280" w:rsidRDefault="00623F09" w:rsidP="00623F09">
      <w:pPr>
        <w:pStyle w:val="ListParagraph"/>
        <w:numPr>
          <w:ilvl w:val="0"/>
          <w:numId w:val="13"/>
        </w:numPr>
        <w:rPr>
          <w:bCs/>
        </w:rPr>
      </w:pPr>
      <w:r w:rsidRPr="00AC3280">
        <w:rPr>
          <w:bCs/>
        </w:rPr>
        <w:t>Police (</w:t>
      </w:r>
      <w:r w:rsidR="00AC3280" w:rsidRPr="00AC3280">
        <w:rPr>
          <w:bCs/>
        </w:rPr>
        <w:t>Non-emergency)</w:t>
      </w:r>
      <w:r w:rsidR="00AC3280" w:rsidRPr="00AC3280">
        <w:rPr>
          <w:bCs/>
        </w:rPr>
        <w:tab/>
      </w:r>
      <w:r w:rsidR="00AC3280" w:rsidRPr="00AC3280">
        <w:rPr>
          <w:bCs/>
        </w:rPr>
        <w:tab/>
      </w:r>
      <w:r w:rsidR="00AC3280" w:rsidRPr="00AC3280">
        <w:rPr>
          <w:bCs/>
        </w:rPr>
        <w:tab/>
      </w:r>
      <w:r w:rsidR="00AC3280" w:rsidRPr="00AC3280">
        <w:rPr>
          <w:bCs/>
        </w:rPr>
        <w:tab/>
      </w:r>
      <w:r w:rsidRPr="00AC3280">
        <w:rPr>
          <w:bCs/>
        </w:rPr>
        <w:t>101</w:t>
      </w:r>
    </w:p>
    <w:p w:rsidR="00623F09" w:rsidRDefault="00623F09" w:rsidP="00623F09">
      <w:pPr>
        <w:pStyle w:val="ListParagraph"/>
        <w:numPr>
          <w:ilvl w:val="0"/>
          <w:numId w:val="13"/>
        </w:numPr>
      </w:pPr>
      <w:r w:rsidRPr="00AC3280">
        <w:t>National Dome</w:t>
      </w:r>
      <w:r w:rsidR="00AC3280" w:rsidRPr="00AC3280">
        <w:t>stic Violence Helpline (24hr)</w:t>
      </w:r>
      <w:r w:rsidR="00AC3280" w:rsidRPr="00AC3280">
        <w:tab/>
        <w:t xml:space="preserve"> </w:t>
      </w:r>
      <w:r w:rsidRPr="00AC3280">
        <w:t>0808 2000 247</w:t>
      </w:r>
    </w:p>
    <w:p w:rsidR="00AC3280" w:rsidRPr="00AC3280" w:rsidRDefault="00AC3280" w:rsidP="00AC3280">
      <w:pPr>
        <w:pStyle w:val="ListParagraph"/>
        <w:numPr>
          <w:ilvl w:val="0"/>
          <w:numId w:val="13"/>
        </w:numPr>
        <w:rPr>
          <w:bCs/>
        </w:rPr>
      </w:pPr>
      <w:r w:rsidRPr="00623F09">
        <w:rPr>
          <w:bCs/>
        </w:rPr>
        <w:t>Victim Support Tower Hamlets</w:t>
      </w:r>
      <w:r>
        <w:rPr>
          <w:bCs/>
        </w:rPr>
        <w:tab/>
      </w:r>
      <w:r>
        <w:rPr>
          <w:bCs/>
        </w:rPr>
        <w:tab/>
      </w:r>
      <w:r>
        <w:rPr>
          <w:bCs/>
        </w:rPr>
        <w:tab/>
      </w:r>
      <w:r w:rsidRPr="00623F09">
        <w:rPr>
          <w:bCs/>
        </w:rPr>
        <w:t>020 7364 2448/7957</w:t>
      </w:r>
    </w:p>
    <w:p w:rsidR="00623F09" w:rsidRPr="00AC3280" w:rsidRDefault="00623F09" w:rsidP="00623F09">
      <w:pPr>
        <w:pStyle w:val="ListParagraph"/>
        <w:numPr>
          <w:ilvl w:val="0"/>
          <w:numId w:val="13"/>
        </w:numPr>
        <w:rPr>
          <w:bCs/>
        </w:rPr>
      </w:pPr>
      <w:r w:rsidRPr="00AC3280">
        <w:rPr>
          <w:bCs/>
        </w:rPr>
        <w:t xml:space="preserve">National LGBT Domestic Abuse Helpline </w:t>
      </w:r>
      <w:r w:rsidR="00AC3280" w:rsidRPr="00AC3280">
        <w:rPr>
          <w:bCs/>
        </w:rPr>
        <w:tab/>
      </w:r>
      <w:r w:rsidRPr="00AC3280">
        <w:rPr>
          <w:bCs/>
        </w:rPr>
        <w:t>0800 999 5428</w:t>
      </w:r>
    </w:p>
    <w:p w:rsidR="00623F09" w:rsidRDefault="00AC3280" w:rsidP="00623F09">
      <w:pPr>
        <w:pStyle w:val="ListParagraph"/>
        <w:numPr>
          <w:ilvl w:val="0"/>
          <w:numId w:val="13"/>
        </w:numPr>
        <w:rPr>
          <w:bCs/>
        </w:rPr>
      </w:pPr>
      <w:r>
        <w:rPr>
          <w:bCs/>
        </w:rPr>
        <w:t>Early Help Hub (concerns regarding children)</w:t>
      </w:r>
      <w:r w:rsidRPr="00AC3280">
        <w:rPr>
          <w:bCs/>
        </w:rPr>
        <w:tab/>
      </w:r>
      <w:r w:rsidR="00623F09" w:rsidRPr="00AC3280">
        <w:rPr>
          <w:bCs/>
        </w:rPr>
        <w:t>020 7364 5744</w:t>
      </w:r>
    </w:p>
    <w:p w:rsidR="00AC3280" w:rsidRPr="00AC3280" w:rsidRDefault="00AC3280" w:rsidP="00AC3280">
      <w:pPr>
        <w:pStyle w:val="ListParagraph"/>
        <w:rPr>
          <w:bCs/>
        </w:rPr>
      </w:pPr>
      <w:r>
        <w:rPr>
          <w:bCs/>
        </w:rPr>
        <w:t>(10am – 1pm</w:t>
      </w:r>
      <w:r w:rsidRPr="00AC3280">
        <w:rPr>
          <w:bCs/>
        </w:rPr>
        <w:t>)</w:t>
      </w:r>
    </w:p>
    <w:p w:rsidR="00623F09" w:rsidRPr="00AC3280" w:rsidRDefault="00623F09" w:rsidP="00623F09">
      <w:pPr>
        <w:pStyle w:val="ListParagraph"/>
        <w:numPr>
          <w:ilvl w:val="0"/>
          <w:numId w:val="13"/>
        </w:numPr>
        <w:rPr>
          <w:bCs/>
        </w:rPr>
      </w:pPr>
      <w:r w:rsidRPr="00AC3280">
        <w:rPr>
          <w:bCs/>
        </w:rPr>
        <w:t>Child Protection Advice Line</w:t>
      </w:r>
      <w:r w:rsidRPr="00AC3280">
        <w:rPr>
          <w:bCs/>
        </w:rPr>
        <w:tab/>
      </w:r>
      <w:r w:rsidR="00AC3280" w:rsidRPr="00AC3280">
        <w:rPr>
          <w:bCs/>
        </w:rPr>
        <w:tab/>
      </w:r>
      <w:r w:rsidR="00AC3280" w:rsidRPr="00AC3280">
        <w:rPr>
          <w:bCs/>
        </w:rPr>
        <w:tab/>
      </w:r>
      <w:r w:rsidRPr="00AC3280">
        <w:rPr>
          <w:bCs/>
        </w:rPr>
        <w:t>020 7364 3444</w:t>
      </w:r>
    </w:p>
    <w:p w:rsidR="00623F09" w:rsidRPr="00AC3280" w:rsidRDefault="00AC3280" w:rsidP="00623F09">
      <w:pPr>
        <w:pStyle w:val="ListParagraph"/>
        <w:numPr>
          <w:ilvl w:val="0"/>
          <w:numId w:val="13"/>
        </w:numPr>
        <w:rPr>
          <w:bCs/>
        </w:rPr>
      </w:pPr>
      <w:r w:rsidRPr="00AC3280">
        <w:rPr>
          <w:bCs/>
        </w:rPr>
        <w:t>East London Rape Crisis</w:t>
      </w:r>
      <w:r w:rsidRPr="00AC3280">
        <w:rPr>
          <w:bCs/>
        </w:rPr>
        <w:tab/>
      </w:r>
      <w:r w:rsidRPr="00AC3280">
        <w:rPr>
          <w:bCs/>
        </w:rPr>
        <w:tab/>
      </w:r>
      <w:r w:rsidRPr="00AC3280">
        <w:rPr>
          <w:bCs/>
        </w:rPr>
        <w:tab/>
      </w:r>
      <w:r w:rsidRPr="00AC3280">
        <w:rPr>
          <w:bCs/>
        </w:rPr>
        <w:tab/>
      </w:r>
      <w:r w:rsidR="00623F09" w:rsidRPr="00AC3280">
        <w:rPr>
          <w:bCs/>
        </w:rPr>
        <w:t>0800 160 1036</w:t>
      </w:r>
    </w:p>
    <w:p w:rsidR="00623F09" w:rsidRPr="00AC3280" w:rsidRDefault="00623F09" w:rsidP="00623F09">
      <w:pPr>
        <w:pStyle w:val="ListParagraph"/>
        <w:numPr>
          <w:ilvl w:val="0"/>
          <w:numId w:val="13"/>
        </w:numPr>
        <w:rPr>
          <w:bCs/>
        </w:rPr>
      </w:pPr>
      <w:r w:rsidRPr="00AC3280">
        <w:rPr>
          <w:bCs/>
        </w:rPr>
        <w:t>The Ha</w:t>
      </w:r>
      <w:r w:rsidR="00AC3280" w:rsidRPr="00AC3280">
        <w:rPr>
          <w:bCs/>
        </w:rPr>
        <w:t>vens (Rape &amp; Sexual Assault)</w:t>
      </w:r>
      <w:r w:rsidR="00AC3280" w:rsidRPr="00AC3280">
        <w:rPr>
          <w:bCs/>
        </w:rPr>
        <w:tab/>
      </w:r>
      <w:r w:rsidR="00AC3280" w:rsidRPr="00AC3280">
        <w:rPr>
          <w:bCs/>
        </w:rPr>
        <w:tab/>
      </w:r>
      <w:r w:rsidRPr="00AC3280">
        <w:rPr>
          <w:bCs/>
        </w:rPr>
        <w:t xml:space="preserve">020 3299 6900 </w:t>
      </w:r>
    </w:p>
    <w:p w:rsidR="00623F09" w:rsidRPr="00AC3280" w:rsidRDefault="00623F09" w:rsidP="00623F09">
      <w:pPr>
        <w:pStyle w:val="ListParagraph"/>
        <w:numPr>
          <w:ilvl w:val="0"/>
          <w:numId w:val="13"/>
        </w:numPr>
        <w:rPr>
          <w:bCs/>
        </w:rPr>
      </w:pPr>
      <w:r w:rsidRPr="00AC3280">
        <w:rPr>
          <w:bCs/>
        </w:rPr>
        <w:t>Rese</w:t>
      </w:r>
      <w:r w:rsidR="00AC3280" w:rsidRPr="00AC3280">
        <w:rPr>
          <w:bCs/>
        </w:rPr>
        <w:t xml:space="preserve">t (Drugs &amp; Alcohol Services) </w:t>
      </w:r>
      <w:r w:rsidR="00AC3280" w:rsidRPr="00AC3280">
        <w:rPr>
          <w:bCs/>
        </w:rPr>
        <w:tab/>
      </w:r>
      <w:r w:rsidR="00AC3280" w:rsidRPr="00AC3280">
        <w:rPr>
          <w:bCs/>
        </w:rPr>
        <w:tab/>
      </w:r>
      <w:r w:rsidRPr="00AC3280">
        <w:rPr>
          <w:bCs/>
        </w:rPr>
        <w:t>020 8121 5301</w:t>
      </w:r>
    </w:p>
    <w:p w:rsidR="00623F09" w:rsidRPr="00623F09" w:rsidRDefault="00AC3280" w:rsidP="00623F09">
      <w:pPr>
        <w:pStyle w:val="ListParagraph"/>
        <w:numPr>
          <w:ilvl w:val="0"/>
          <w:numId w:val="13"/>
        </w:numPr>
        <w:rPr>
          <w:bCs/>
        </w:rPr>
      </w:pPr>
      <w:r w:rsidRPr="00AC3280">
        <w:rPr>
          <w:bCs/>
        </w:rPr>
        <w:t xml:space="preserve">Men’s Advice Line </w:t>
      </w:r>
      <w:r w:rsidRPr="00AC3280">
        <w:rPr>
          <w:bCs/>
        </w:rPr>
        <w:tab/>
      </w:r>
      <w:r>
        <w:rPr>
          <w:bCs/>
        </w:rPr>
        <w:tab/>
      </w:r>
      <w:r>
        <w:rPr>
          <w:bCs/>
        </w:rPr>
        <w:tab/>
      </w:r>
      <w:r>
        <w:rPr>
          <w:bCs/>
        </w:rPr>
        <w:tab/>
      </w:r>
      <w:r>
        <w:rPr>
          <w:bCs/>
        </w:rPr>
        <w:tab/>
      </w:r>
      <w:r w:rsidR="00623F09" w:rsidRPr="00623F09">
        <w:rPr>
          <w:bCs/>
        </w:rPr>
        <w:t>0808 801 0327</w:t>
      </w:r>
    </w:p>
    <w:p w:rsidR="00623F09" w:rsidRPr="00623F09" w:rsidRDefault="00AC3280" w:rsidP="00623F09">
      <w:pPr>
        <w:pStyle w:val="ListParagraph"/>
        <w:numPr>
          <w:ilvl w:val="0"/>
          <w:numId w:val="13"/>
        </w:numPr>
        <w:rPr>
          <w:bCs/>
        </w:rPr>
      </w:pPr>
      <w:r>
        <w:rPr>
          <w:bCs/>
        </w:rPr>
        <w:t>NSPCC Child Protection Line</w:t>
      </w:r>
      <w:r>
        <w:rPr>
          <w:bCs/>
        </w:rPr>
        <w:tab/>
      </w:r>
      <w:r>
        <w:rPr>
          <w:bCs/>
        </w:rPr>
        <w:tab/>
      </w:r>
      <w:r>
        <w:rPr>
          <w:bCs/>
        </w:rPr>
        <w:tab/>
      </w:r>
      <w:r w:rsidR="00623F09" w:rsidRPr="00623F09">
        <w:rPr>
          <w:bCs/>
        </w:rPr>
        <w:t>0808 800 5000</w:t>
      </w:r>
    </w:p>
    <w:p w:rsidR="00623F09" w:rsidRPr="00623F09" w:rsidRDefault="00623F09" w:rsidP="00623F09">
      <w:pPr>
        <w:pStyle w:val="ListParagraph"/>
        <w:numPr>
          <w:ilvl w:val="0"/>
          <w:numId w:val="13"/>
        </w:numPr>
        <w:rPr>
          <w:bCs/>
        </w:rPr>
      </w:pPr>
      <w:r w:rsidRPr="00623F09">
        <w:rPr>
          <w:bCs/>
        </w:rPr>
        <w:t>Resp</w:t>
      </w:r>
      <w:r w:rsidR="00AC3280">
        <w:rPr>
          <w:bCs/>
        </w:rPr>
        <w:t>ect (Help for Perpetrators)</w:t>
      </w:r>
      <w:r w:rsidR="00AC3280">
        <w:rPr>
          <w:bCs/>
        </w:rPr>
        <w:tab/>
      </w:r>
      <w:r w:rsidR="00AC3280">
        <w:rPr>
          <w:bCs/>
        </w:rPr>
        <w:tab/>
      </w:r>
      <w:r w:rsidR="00AC3280">
        <w:rPr>
          <w:bCs/>
        </w:rPr>
        <w:tab/>
      </w:r>
      <w:r w:rsidRPr="00623F09">
        <w:rPr>
          <w:bCs/>
        </w:rPr>
        <w:t>0808 802 4040</w:t>
      </w:r>
    </w:p>
    <w:p w:rsidR="00623F09" w:rsidRPr="00623F09" w:rsidRDefault="00623F09" w:rsidP="00623F09">
      <w:pPr>
        <w:pStyle w:val="ListParagraph"/>
        <w:numPr>
          <w:ilvl w:val="0"/>
          <w:numId w:val="13"/>
        </w:numPr>
        <w:rPr>
          <w:bCs/>
        </w:rPr>
      </w:pPr>
      <w:r w:rsidRPr="00623F09">
        <w:rPr>
          <w:bCs/>
        </w:rPr>
        <w:t>Rig</w:t>
      </w:r>
      <w:r w:rsidR="00AC3280">
        <w:rPr>
          <w:bCs/>
        </w:rPr>
        <w:t>hts of Women (Legal Advice)</w:t>
      </w:r>
      <w:r w:rsidR="00AC3280">
        <w:rPr>
          <w:bCs/>
        </w:rPr>
        <w:tab/>
      </w:r>
      <w:r w:rsidR="00AC3280">
        <w:rPr>
          <w:bCs/>
        </w:rPr>
        <w:tab/>
      </w:r>
      <w:r w:rsidR="00AC3280">
        <w:rPr>
          <w:bCs/>
        </w:rPr>
        <w:tab/>
      </w:r>
      <w:r w:rsidRPr="00623F09">
        <w:rPr>
          <w:bCs/>
        </w:rPr>
        <w:t>020 7608 1137</w:t>
      </w:r>
    </w:p>
    <w:p w:rsidR="00623F09" w:rsidRPr="00623F09" w:rsidRDefault="00623F09" w:rsidP="00623F09">
      <w:pPr>
        <w:pStyle w:val="ListParagraph"/>
        <w:numPr>
          <w:ilvl w:val="0"/>
          <w:numId w:val="13"/>
        </w:numPr>
        <w:rPr>
          <w:bCs/>
        </w:rPr>
      </w:pPr>
      <w:r w:rsidRPr="00623F09">
        <w:rPr>
          <w:bCs/>
        </w:rPr>
        <w:t>Women</w:t>
      </w:r>
      <w:r w:rsidR="00AC3280">
        <w:rPr>
          <w:bCs/>
        </w:rPr>
        <w:t>’s Trust (Counselling)</w:t>
      </w:r>
      <w:r w:rsidR="00AC3280">
        <w:rPr>
          <w:bCs/>
        </w:rPr>
        <w:tab/>
      </w:r>
      <w:r w:rsidR="00AC3280">
        <w:rPr>
          <w:bCs/>
        </w:rPr>
        <w:tab/>
      </w:r>
      <w:r w:rsidR="00AC3280">
        <w:rPr>
          <w:bCs/>
        </w:rPr>
        <w:tab/>
      </w:r>
      <w:r w:rsidRPr="00623F09">
        <w:rPr>
          <w:bCs/>
        </w:rPr>
        <w:t>020 7034 0303</w:t>
      </w:r>
    </w:p>
    <w:p w:rsidR="00623F09" w:rsidRDefault="00623F09" w:rsidP="00623F09">
      <w:pPr>
        <w:rPr>
          <w:bCs/>
        </w:rPr>
      </w:pPr>
    </w:p>
    <w:p w:rsidR="00623F09" w:rsidRPr="00623F09" w:rsidRDefault="00623F09" w:rsidP="00623F09">
      <w:pPr>
        <w:pStyle w:val="ListParagraph"/>
        <w:numPr>
          <w:ilvl w:val="0"/>
          <w:numId w:val="13"/>
        </w:numPr>
        <w:rPr>
          <w:bCs/>
        </w:rPr>
      </w:pPr>
      <w:r w:rsidRPr="00623F09">
        <w:rPr>
          <w:bCs/>
        </w:rPr>
        <w:t>Tower Hamlets Do</w:t>
      </w:r>
      <w:r>
        <w:rPr>
          <w:bCs/>
        </w:rPr>
        <w:t>mestic Violence</w:t>
      </w:r>
      <w:r w:rsidR="00AC3280">
        <w:rPr>
          <w:bCs/>
        </w:rPr>
        <w:tab/>
      </w:r>
      <w:r>
        <w:rPr>
          <w:bCs/>
        </w:rPr>
        <w:tab/>
      </w:r>
      <w:r w:rsidRPr="00623F09">
        <w:rPr>
          <w:bCs/>
        </w:rPr>
        <w:t>020 7364 4986</w:t>
      </w:r>
    </w:p>
    <w:p w:rsidR="00AC3280" w:rsidRDefault="00AC3280" w:rsidP="00623F09">
      <w:pPr>
        <w:pStyle w:val="ListParagraph"/>
        <w:rPr>
          <w:bCs/>
        </w:rPr>
      </w:pPr>
      <w:r>
        <w:rPr>
          <w:bCs/>
        </w:rPr>
        <w:t>One Stop Shop</w:t>
      </w:r>
    </w:p>
    <w:p w:rsidR="00623F09" w:rsidRPr="00623F09" w:rsidRDefault="00623F09" w:rsidP="00623F09">
      <w:pPr>
        <w:pStyle w:val="ListParagraph"/>
        <w:rPr>
          <w:bCs/>
        </w:rPr>
      </w:pPr>
      <w:r w:rsidRPr="00623F09">
        <w:rPr>
          <w:bCs/>
        </w:rPr>
        <w:t>Idea Store, 321 Whitechapel Road, London E1 1BU</w:t>
      </w:r>
    </w:p>
    <w:p w:rsidR="00623F09" w:rsidRPr="00623F09" w:rsidRDefault="00623F09" w:rsidP="00623F09">
      <w:pPr>
        <w:pStyle w:val="ListParagraph"/>
        <w:rPr>
          <w:bCs/>
        </w:rPr>
      </w:pPr>
      <w:r w:rsidRPr="00623F09">
        <w:rPr>
          <w:bCs/>
        </w:rPr>
        <w:t>(Thursdays only, 9.30 am – 12.30pm)</w:t>
      </w:r>
    </w:p>
    <w:p w:rsidR="00623F09" w:rsidRDefault="00623F09" w:rsidP="00623F09">
      <w:pPr>
        <w:rPr>
          <w:bCs/>
        </w:rPr>
      </w:pPr>
    </w:p>
    <w:p w:rsidR="00623F09" w:rsidRPr="00623F09" w:rsidRDefault="00623F09" w:rsidP="00623F09">
      <w:pPr>
        <w:pStyle w:val="ListParagraph"/>
        <w:numPr>
          <w:ilvl w:val="0"/>
          <w:numId w:val="13"/>
        </w:numPr>
        <w:rPr>
          <w:bCs/>
        </w:rPr>
      </w:pPr>
      <w:r w:rsidRPr="00623F09">
        <w:rPr>
          <w:bCs/>
        </w:rPr>
        <w:t>She</w:t>
      </w:r>
      <w:r w:rsidR="00AC3280">
        <w:rPr>
          <w:bCs/>
        </w:rPr>
        <w:t xml:space="preserve">lter London Advice Service </w:t>
      </w:r>
      <w:r w:rsidR="00AC3280">
        <w:rPr>
          <w:bCs/>
        </w:rPr>
        <w:tab/>
      </w:r>
      <w:r w:rsidR="00AC3280">
        <w:rPr>
          <w:bCs/>
        </w:rPr>
        <w:tab/>
      </w:r>
      <w:r w:rsidR="00AC3280">
        <w:rPr>
          <w:bCs/>
        </w:rPr>
        <w:tab/>
      </w:r>
      <w:r w:rsidRPr="00623F09">
        <w:rPr>
          <w:bCs/>
        </w:rPr>
        <w:t>0344 515 1540</w:t>
      </w:r>
    </w:p>
    <w:p w:rsidR="00623F09" w:rsidRPr="00623F09" w:rsidRDefault="00AC3280" w:rsidP="00623F09">
      <w:pPr>
        <w:pStyle w:val="ListParagraph"/>
        <w:numPr>
          <w:ilvl w:val="0"/>
          <w:numId w:val="13"/>
        </w:numPr>
        <w:rPr>
          <w:bCs/>
        </w:rPr>
      </w:pPr>
      <w:r>
        <w:rPr>
          <w:bCs/>
        </w:rPr>
        <w:t xml:space="preserve">Housing Options </w:t>
      </w:r>
      <w:r>
        <w:rPr>
          <w:bCs/>
        </w:rPr>
        <w:tab/>
      </w:r>
      <w:r>
        <w:rPr>
          <w:bCs/>
        </w:rPr>
        <w:tab/>
      </w:r>
      <w:r>
        <w:rPr>
          <w:bCs/>
        </w:rPr>
        <w:tab/>
      </w:r>
      <w:r>
        <w:rPr>
          <w:bCs/>
        </w:rPr>
        <w:tab/>
      </w:r>
      <w:r>
        <w:rPr>
          <w:bCs/>
        </w:rPr>
        <w:tab/>
      </w:r>
      <w:r w:rsidR="00623F09" w:rsidRPr="00623F09">
        <w:rPr>
          <w:bCs/>
        </w:rPr>
        <w:t>020 7364 7474</w:t>
      </w:r>
    </w:p>
    <w:p w:rsidR="00623F09" w:rsidRPr="00623F09" w:rsidRDefault="00623F09" w:rsidP="00623F09">
      <w:pPr>
        <w:pStyle w:val="ListParagraph"/>
        <w:numPr>
          <w:ilvl w:val="0"/>
          <w:numId w:val="13"/>
        </w:numPr>
        <w:rPr>
          <w:bCs/>
        </w:rPr>
      </w:pPr>
      <w:r w:rsidRPr="00623F09">
        <w:rPr>
          <w:bCs/>
        </w:rPr>
        <w:t>Emergency Duty Team (</w:t>
      </w:r>
      <w:r w:rsidR="00AC3280">
        <w:rPr>
          <w:bCs/>
        </w:rPr>
        <w:t>Out of Hours Service)</w:t>
      </w:r>
      <w:r w:rsidR="00AC3280">
        <w:rPr>
          <w:bCs/>
        </w:rPr>
        <w:tab/>
      </w:r>
      <w:r w:rsidRPr="00623F09">
        <w:rPr>
          <w:bCs/>
        </w:rPr>
        <w:t>020 7364 7070</w:t>
      </w:r>
    </w:p>
    <w:p w:rsidR="00623F09" w:rsidRDefault="00623F09" w:rsidP="00623F09">
      <w:pPr>
        <w:rPr>
          <w:bCs/>
        </w:rPr>
      </w:pPr>
    </w:p>
    <w:p w:rsidR="00623F09" w:rsidRPr="00BF6591" w:rsidRDefault="00623F09" w:rsidP="00623F09">
      <w:pPr>
        <w:rPr>
          <w:b/>
          <w:bCs/>
          <w:color w:val="FF0000"/>
        </w:rPr>
      </w:pPr>
      <w:r w:rsidRPr="00BF6591">
        <w:rPr>
          <w:b/>
          <w:bCs/>
          <w:color w:val="FF0000"/>
        </w:rPr>
        <w:t>In an emergency, call 999 for police or ambulance service</w:t>
      </w:r>
    </w:p>
    <w:p w:rsidR="00623F09" w:rsidRDefault="00623F09" w:rsidP="00621D56">
      <w:pPr>
        <w:rPr>
          <w:rFonts w:cs="Arial"/>
          <w:b/>
          <w:lang w:eastAsia="en-US"/>
        </w:rPr>
      </w:pPr>
    </w:p>
    <w:p w:rsidR="00621D56" w:rsidRPr="00621D56" w:rsidRDefault="00621D56" w:rsidP="00621D56">
      <w:pPr>
        <w:rPr>
          <w:rFonts w:cs="Arial"/>
          <w:b/>
          <w:lang w:eastAsia="en-US"/>
        </w:rPr>
      </w:pPr>
      <w:r w:rsidRPr="00621D56">
        <w:rPr>
          <w:rFonts w:cs="Arial"/>
          <w:b/>
          <w:lang w:eastAsia="en-US"/>
        </w:rPr>
        <w:t>Internal Support:</w:t>
      </w:r>
    </w:p>
    <w:p w:rsidR="00621D56" w:rsidRPr="00621D56" w:rsidRDefault="00621D56" w:rsidP="00621D56">
      <w:pPr>
        <w:rPr>
          <w:rFonts w:cs="Arial"/>
          <w:b/>
          <w:lang w:eastAsia="en-US"/>
        </w:rPr>
      </w:pPr>
    </w:p>
    <w:p w:rsidR="00621D56" w:rsidRPr="00621D56" w:rsidRDefault="00621D56" w:rsidP="00621D56">
      <w:pPr>
        <w:numPr>
          <w:ilvl w:val="0"/>
          <w:numId w:val="5"/>
        </w:numPr>
        <w:ind w:left="1560" w:hanging="425"/>
        <w:rPr>
          <w:rFonts w:cs="Arial"/>
          <w:b/>
          <w:lang w:eastAsia="en-US"/>
        </w:rPr>
      </w:pPr>
      <w:r w:rsidRPr="00621D56">
        <w:rPr>
          <w:rFonts w:cs="Arial"/>
          <w:lang w:eastAsia="en-US"/>
        </w:rPr>
        <w:t xml:space="preserve">Your manager (including referrals to Occupational Health to access counselling) </w:t>
      </w:r>
    </w:p>
    <w:p w:rsidR="00621D56" w:rsidRPr="00621D56" w:rsidRDefault="00621D56" w:rsidP="00621D56">
      <w:pPr>
        <w:ind w:left="1560" w:hanging="425"/>
        <w:rPr>
          <w:rFonts w:cs="Arial"/>
          <w:b/>
          <w:lang w:eastAsia="en-US"/>
        </w:rPr>
      </w:pPr>
    </w:p>
    <w:p w:rsidR="00621D56" w:rsidRPr="00621D56" w:rsidRDefault="00621D56" w:rsidP="00621D56">
      <w:pPr>
        <w:numPr>
          <w:ilvl w:val="0"/>
          <w:numId w:val="5"/>
        </w:numPr>
        <w:spacing w:after="180"/>
        <w:ind w:left="1560" w:hanging="425"/>
        <w:rPr>
          <w:rFonts w:cs="Arial"/>
          <w:lang w:val="en"/>
        </w:rPr>
      </w:pPr>
      <w:r w:rsidRPr="00621D56">
        <w:rPr>
          <w:rFonts w:cs="Arial"/>
        </w:rPr>
        <w:t xml:space="preserve">Tower Hamlets </w:t>
      </w:r>
      <w:r w:rsidR="0026118E">
        <w:rPr>
          <w:rFonts w:cs="Arial"/>
        </w:rPr>
        <w:t xml:space="preserve">VAWG, </w:t>
      </w:r>
      <w:r w:rsidRPr="00621D56">
        <w:rPr>
          <w:rFonts w:cs="Arial"/>
        </w:rPr>
        <w:t xml:space="preserve">Domestic </w:t>
      </w:r>
      <w:r w:rsidR="0026118E">
        <w:rPr>
          <w:rFonts w:cs="Arial"/>
        </w:rPr>
        <w:tab/>
      </w:r>
      <w:r w:rsidR="00D70B6E">
        <w:rPr>
          <w:rFonts w:cs="Arial"/>
        </w:rPr>
        <w:t>Abuse and Hate Crime</w:t>
      </w:r>
      <w:r w:rsidRPr="00621D56">
        <w:rPr>
          <w:rFonts w:cs="Arial"/>
        </w:rPr>
        <w:t xml:space="preserve"> Team - </w:t>
      </w:r>
      <w:r w:rsidRPr="00621D56">
        <w:rPr>
          <w:rFonts w:cs="Arial"/>
          <w:lang w:val="en"/>
        </w:rPr>
        <w:t xml:space="preserve">0800 279 5434 or via email on </w:t>
      </w:r>
      <w:hyperlink r:id="rId8" w:history="1">
        <w:r w:rsidR="001962F0" w:rsidRPr="00D55A35">
          <w:rPr>
            <w:rStyle w:val="Hyperlink"/>
            <w:rFonts w:cs="Arial"/>
            <w:lang w:val="en"/>
          </w:rPr>
          <w:t>domestic.violence@towerhamlets.gov.uk</w:t>
        </w:r>
      </w:hyperlink>
    </w:p>
    <w:p w:rsidR="00621D56" w:rsidRPr="00621D56" w:rsidRDefault="00EC1F40" w:rsidP="00621D56">
      <w:pPr>
        <w:numPr>
          <w:ilvl w:val="0"/>
          <w:numId w:val="5"/>
        </w:numPr>
        <w:tabs>
          <w:tab w:val="num" w:pos="1134"/>
        </w:tabs>
        <w:spacing w:after="180"/>
        <w:ind w:firstLine="414"/>
        <w:rPr>
          <w:rFonts w:cs="Arial"/>
          <w:lang w:val="en"/>
        </w:rPr>
      </w:pPr>
      <w:r>
        <w:rPr>
          <w:rFonts w:cs="Arial"/>
          <w:lang w:val="en"/>
        </w:rPr>
        <w:t xml:space="preserve">  </w:t>
      </w:r>
      <w:r w:rsidR="00621D56" w:rsidRPr="00621D56">
        <w:rPr>
          <w:rFonts w:cs="Arial"/>
          <w:lang w:val="en"/>
        </w:rPr>
        <w:t>ESCW Directorate Childrens Services</w:t>
      </w:r>
    </w:p>
    <w:p w:rsidR="00621D56" w:rsidRPr="00621D56" w:rsidRDefault="00621D56" w:rsidP="00621D56">
      <w:pPr>
        <w:numPr>
          <w:ilvl w:val="0"/>
          <w:numId w:val="5"/>
        </w:numPr>
        <w:spacing w:after="180"/>
        <w:ind w:left="1560" w:hanging="425"/>
        <w:rPr>
          <w:rFonts w:cs="Arial"/>
          <w:lang w:val="en"/>
        </w:rPr>
      </w:pPr>
      <w:r w:rsidRPr="00621D56">
        <w:rPr>
          <w:rFonts w:cs="Arial"/>
        </w:rPr>
        <w:t xml:space="preserve">Human Resources </w:t>
      </w:r>
    </w:p>
    <w:p w:rsidR="00621D56" w:rsidRDefault="00621D56" w:rsidP="009B635A">
      <w:pPr>
        <w:numPr>
          <w:ilvl w:val="0"/>
          <w:numId w:val="5"/>
        </w:numPr>
        <w:ind w:left="1560" w:hanging="425"/>
      </w:pPr>
      <w:r w:rsidRPr="00621D56">
        <w:rPr>
          <w:rFonts w:cs="Arial"/>
          <w:lang w:eastAsia="en-US"/>
        </w:rPr>
        <w:t>Trade unions</w:t>
      </w:r>
    </w:p>
    <w:sectPr w:rsidR="00621D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63D"/>
    <w:multiLevelType w:val="hybridMultilevel"/>
    <w:tmpl w:val="073AA4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506DD3"/>
    <w:multiLevelType w:val="multilevel"/>
    <w:tmpl w:val="0C124D84"/>
    <w:lvl w:ilvl="0">
      <w:start w:val="2"/>
      <w:numFmt w:val="none"/>
      <w:isLgl/>
      <w:lvlText w:val="3.4"/>
      <w:lvlJc w:val="left"/>
      <w:pPr>
        <w:tabs>
          <w:tab w:val="num" w:pos="360"/>
        </w:tabs>
        <w:ind w:left="360" w:hanging="360"/>
      </w:pPr>
      <w:rPr>
        <w:rFonts w:ascii="Verdana" w:hAnsi="Verdana" w:hint="default"/>
        <w:b w:val="0"/>
        <w:i w:val="0"/>
      </w:rPr>
    </w:lvl>
    <w:lvl w:ilvl="1">
      <w:start w:val="1"/>
      <w:numFmt w:val="none"/>
      <w:lvlRestart w:val="0"/>
      <w:suff w:val="space"/>
      <w:lvlText w:val="2.2"/>
      <w:lvlJc w:val="left"/>
      <w:pPr>
        <w:ind w:left="360" w:hanging="360"/>
      </w:pPr>
      <w:rPr>
        <w:rFonts w:ascii="Arial" w:hAnsi="Arial" w:cs="Tahoma" w:hint="default"/>
        <w:color w:val="auto"/>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800"/>
        </w:tabs>
        <w:ind w:left="1800" w:hanging="180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2">
    <w:nsid w:val="042707C6"/>
    <w:multiLevelType w:val="hybridMultilevel"/>
    <w:tmpl w:val="49907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356788"/>
    <w:multiLevelType w:val="multilevel"/>
    <w:tmpl w:val="549E9E1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23F7201"/>
    <w:multiLevelType w:val="multilevel"/>
    <w:tmpl w:val="B2DAE6D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3563FE2"/>
    <w:multiLevelType w:val="hybridMultilevel"/>
    <w:tmpl w:val="0C22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7155D2"/>
    <w:multiLevelType w:val="hybridMultilevel"/>
    <w:tmpl w:val="00BCA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A592B52"/>
    <w:multiLevelType w:val="hybridMultilevel"/>
    <w:tmpl w:val="526C6F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DE3F73"/>
    <w:multiLevelType w:val="hybridMultilevel"/>
    <w:tmpl w:val="CDB2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6E670B"/>
    <w:multiLevelType w:val="multilevel"/>
    <w:tmpl w:val="C3D0BF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A0F5C51"/>
    <w:multiLevelType w:val="multilevel"/>
    <w:tmpl w:val="906E47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AA43BFD"/>
    <w:multiLevelType w:val="hybridMultilevel"/>
    <w:tmpl w:val="4C8ACC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7D5334F5"/>
    <w:multiLevelType w:val="hybridMultilevel"/>
    <w:tmpl w:val="9AE0F1FE"/>
    <w:lvl w:ilvl="0" w:tplc="10E8F2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F773F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9"/>
  </w:num>
  <w:num w:numId="4">
    <w:abstractNumId w:val="4"/>
  </w:num>
  <w:num w:numId="5">
    <w:abstractNumId w:val="0"/>
  </w:num>
  <w:num w:numId="6">
    <w:abstractNumId w:val="6"/>
  </w:num>
  <w:num w:numId="7">
    <w:abstractNumId w:val="10"/>
  </w:num>
  <w:num w:numId="8">
    <w:abstractNumId w:val="1"/>
    <w:lvlOverride w:ilvl="0">
      <w:lvl w:ilvl="0">
        <w:start w:val="2"/>
        <w:numFmt w:val="none"/>
        <w:isLgl/>
        <w:lvlText w:val="3.3"/>
        <w:lvlJc w:val="left"/>
        <w:pPr>
          <w:tabs>
            <w:tab w:val="num" w:pos="360"/>
          </w:tabs>
          <w:ind w:left="360" w:hanging="360"/>
        </w:pPr>
        <w:rPr>
          <w:rFonts w:ascii="Verdana" w:hAnsi="Verdana" w:hint="default"/>
          <w:b w:val="0"/>
          <w:i w:val="0"/>
        </w:rPr>
      </w:lvl>
    </w:lvlOverride>
    <w:lvlOverride w:ilvl="1">
      <w:lvl w:ilvl="1">
        <w:start w:val="1"/>
        <w:numFmt w:val="none"/>
        <w:lvlRestart w:val="0"/>
        <w:suff w:val="space"/>
        <w:lvlText w:val="2.2"/>
        <w:lvlJc w:val="left"/>
        <w:pPr>
          <w:ind w:left="360" w:hanging="360"/>
        </w:pPr>
        <w:rPr>
          <w:rFonts w:ascii="Arial" w:hAnsi="Arial" w:cs="Tahoma" w:hint="default"/>
          <w:color w:val="auto"/>
        </w:rPr>
      </w:lvl>
    </w:lvlOverride>
    <w:lvlOverride w:ilvl="2">
      <w:lvl w:ilvl="2">
        <w:start w:val="1"/>
        <w:numFmt w:val="decimal"/>
        <w:lvlText w:val="%1.%2.%3"/>
        <w:lvlJc w:val="left"/>
        <w:pPr>
          <w:tabs>
            <w:tab w:val="num" w:pos="720"/>
          </w:tabs>
          <w:ind w:left="720" w:hanging="720"/>
        </w:pPr>
        <w:rPr>
          <w:rFonts w:cs="Tahoma" w:hint="default"/>
        </w:rPr>
      </w:lvl>
    </w:lvlOverride>
    <w:lvlOverride w:ilvl="3">
      <w:lvl w:ilvl="3">
        <w:start w:val="1"/>
        <w:numFmt w:val="decimal"/>
        <w:lvlText w:val="%1.%2.%3.%4"/>
        <w:lvlJc w:val="left"/>
        <w:pPr>
          <w:tabs>
            <w:tab w:val="num" w:pos="1080"/>
          </w:tabs>
          <w:ind w:left="1080" w:hanging="1080"/>
        </w:pPr>
        <w:rPr>
          <w:rFonts w:cs="Tahoma" w:hint="default"/>
        </w:rPr>
      </w:lvl>
    </w:lvlOverride>
    <w:lvlOverride w:ilvl="4">
      <w:lvl w:ilvl="4">
        <w:start w:val="1"/>
        <w:numFmt w:val="decimal"/>
        <w:lvlText w:val="%1.%2.%3.%4.%5"/>
        <w:lvlJc w:val="left"/>
        <w:pPr>
          <w:tabs>
            <w:tab w:val="num" w:pos="1080"/>
          </w:tabs>
          <w:ind w:left="1080" w:hanging="1080"/>
        </w:pPr>
        <w:rPr>
          <w:rFonts w:cs="Tahoma" w:hint="default"/>
        </w:rPr>
      </w:lvl>
    </w:lvlOverride>
    <w:lvlOverride w:ilvl="5">
      <w:lvl w:ilvl="5">
        <w:start w:val="1"/>
        <w:numFmt w:val="decimal"/>
        <w:lvlText w:val="%1.%2.%3.%4.%5.%6"/>
        <w:lvlJc w:val="left"/>
        <w:pPr>
          <w:tabs>
            <w:tab w:val="num" w:pos="1440"/>
          </w:tabs>
          <w:ind w:left="1440" w:hanging="1440"/>
        </w:pPr>
        <w:rPr>
          <w:rFonts w:cs="Tahoma" w:hint="default"/>
        </w:rPr>
      </w:lvl>
    </w:lvlOverride>
    <w:lvlOverride w:ilvl="6">
      <w:lvl w:ilvl="6">
        <w:start w:val="1"/>
        <w:numFmt w:val="decimal"/>
        <w:lvlText w:val="%1.%2.%3.%4.%5.%6.%7"/>
        <w:lvlJc w:val="left"/>
        <w:pPr>
          <w:tabs>
            <w:tab w:val="num" w:pos="1440"/>
          </w:tabs>
          <w:ind w:left="1440" w:hanging="1440"/>
        </w:pPr>
        <w:rPr>
          <w:rFonts w:cs="Tahoma" w:hint="default"/>
        </w:rPr>
      </w:lvl>
    </w:lvlOverride>
    <w:lvlOverride w:ilvl="7">
      <w:lvl w:ilvl="7">
        <w:start w:val="1"/>
        <w:numFmt w:val="decimal"/>
        <w:lvlText w:val="%1.%2.%3.%4.%5.%6.%7.%8"/>
        <w:lvlJc w:val="left"/>
        <w:pPr>
          <w:tabs>
            <w:tab w:val="num" w:pos="1800"/>
          </w:tabs>
          <w:ind w:left="1800" w:hanging="1800"/>
        </w:pPr>
        <w:rPr>
          <w:rFonts w:cs="Tahoma" w:hint="default"/>
        </w:rPr>
      </w:lvl>
    </w:lvlOverride>
    <w:lvlOverride w:ilvl="8">
      <w:lvl w:ilvl="8">
        <w:start w:val="1"/>
        <w:numFmt w:val="decimal"/>
        <w:lvlText w:val="%1.%2.%3.%4.%5.%6.%7.%8.%9"/>
        <w:lvlJc w:val="left"/>
        <w:pPr>
          <w:tabs>
            <w:tab w:val="num" w:pos="1800"/>
          </w:tabs>
          <w:ind w:left="1800" w:hanging="1800"/>
        </w:pPr>
        <w:rPr>
          <w:rFonts w:cs="Tahoma" w:hint="default"/>
        </w:rPr>
      </w:lvl>
    </w:lvlOverride>
  </w:num>
  <w:num w:numId="9">
    <w:abstractNumId w:val="3"/>
  </w:num>
  <w:num w:numId="10">
    <w:abstractNumId w:val="11"/>
  </w:num>
  <w:num w:numId="11">
    <w:abstractNumId w:val="5"/>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F0"/>
    <w:rsid w:val="000431EC"/>
    <w:rsid w:val="00140DE9"/>
    <w:rsid w:val="001962F0"/>
    <w:rsid w:val="001A271D"/>
    <w:rsid w:val="00224DDE"/>
    <w:rsid w:val="00254A72"/>
    <w:rsid w:val="0026118E"/>
    <w:rsid w:val="002E4ACC"/>
    <w:rsid w:val="00304DBD"/>
    <w:rsid w:val="00315AB1"/>
    <w:rsid w:val="00371951"/>
    <w:rsid w:val="00393867"/>
    <w:rsid w:val="003F3AF0"/>
    <w:rsid w:val="00425FF3"/>
    <w:rsid w:val="0053018B"/>
    <w:rsid w:val="005659C4"/>
    <w:rsid w:val="0058273F"/>
    <w:rsid w:val="005C5758"/>
    <w:rsid w:val="005F7BA3"/>
    <w:rsid w:val="00621D56"/>
    <w:rsid w:val="00623F09"/>
    <w:rsid w:val="00674219"/>
    <w:rsid w:val="006C482A"/>
    <w:rsid w:val="00726E93"/>
    <w:rsid w:val="00820757"/>
    <w:rsid w:val="008832F8"/>
    <w:rsid w:val="008F1AA3"/>
    <w:rsid w:val="009016CD"/>
    <w:rsid w:val="009B635A"/>
    <w:rsid w:val="00A00023"/>
    <w:rsid w:val="00AC3280"/>
    <w:rsid w:val="00AD3D32"/>
    <w:rsid w:val="00B554A6"/>
    <w:rsid w:val="00BA639D"/>
    <w:rsid w:val="00C935D9"/>
    <w:rsid w:val="00CD5ADB"/>
    <w:rsid w:val="00CF15A8"/>
    <w:rsid w:val="00D438FD"/>
    <w:rsid w:val="00D70B6E"/>
    <w:rsid w:val="00DA3B9C"/>
    <w:rsid w:val="00DC5883"/>
    <w:rsid w:val="00E9104A"/>
    <w:rsid w:val="00EC1F40"/>
    <w:rsid w:val="00F03766"/>
    <w:rsid w:val="00FD6646"/>
    <w:rsid w:val="00FF1E4B"/>
    <w:rsid w:val="00FF73E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3F3AF0"/>
    <w:rPr>
      <w:sz w:val="16"/>
      <w:szCs w:val="16"/>
    </w:rPr>
  </w:style>
  <w:style w:type="paragraph" w:styleId="CommentText">
    <w:name w:val="annotation text"/>
    <w:basedOn w:val="Normal"/>
    <w:link w:val="CommentTextChar"/>
    <w:rsid w:val="003F3AF0"/>
    <w:rPr>
      <w:sz w:val="20"/>
      <w:szCs w:val="20"/>
    </w:rPr>
  </w:style>
  <w:style w:type="character" w:customStyle="1" w:styleId="CommentTextChar">
    <w:name w:val="Comment Text Char"/>
    <w:basedOn w:val="DefaultParagraphFont"/>
    <w:link w:val="CommentText"/>
    <w:rsid w:val="003F3AF0"/>
    <w:rPr>
      <w:rFonts w:ascii="Arial" w:hAnsi="Arial"/>
    </w:rPr>
  </w:style>
  <w:style w:type="paragraph" w:styleId="CommentSubject">
    <w:name w:val="annotation subject"/>
    <w:basedOn w:val="CommentText"/>
    <w:next w:val="CommentText"/>
    <w:link w:val="CommentSubjectChar"/>
    <w:rsid w:val="003F3AF0"/>
    <w:rPr>
      <w:b/>
      <w:bCs/>
    </w:rPr>
  </w:style>
  <w:style w:type="character" w:customStyle="1" w:styleId="CommentSubjectChar">
    <w:name w:val="Comment Subject Char"/>
    <w:basedOn w:val="CommentTextChar"/>
    <w:link w:val="CommentSubject"/>
    <w:rsid w:val="003F3AF0"/>
    <w:rPr>
      <w:rFonts w:ascii="Arial" w:hAnsi="Arial"/>
      <w:b/>
      <w:bCs/>
    </w:rPr>
  </w:style>
  <w:style w:type="paragraph" w:styleId="BalloonText">
    <w:name w:val="Balloon Text"/>
    <w:basedOn w:val="Normal"/>
    <w:link w:val="BalloonTextChar"/>
    <w:rsid w:val="003F3AF0"/>
    <w:rPr>
      <w:rFonts w:ascii="Tahoma" w:hAnsi="Tahoma" w:cs="Tahoma"/>
      <w:sz w:val="16"/>
      <w:szCs w:val="16"/>
    </w:rPr>
  </w:style>
  <w:style w:type="character" w:customStyle="1" w:styleId="BalloonTextChar">
    <w:name w:val="Balloon Text Char"/>
    <w:basedOn w:val="DefaultParagraphFont"/>
    <w:link w:val="BalloonText"/>
    <w:rsid w:val="003F3AF0"/>
    <w:rPr>
      <w:rFonts w:ascii="Tahoma" w:hAnsi="Tahoma" w:cs="Tahoma"/>
      <w:sz w:val="16"/>
      <w:szCs w:val="16"/>
    </w:rPr>
  </w:style>
  <w:style w:type="table" w:styleId="TableGrid">
    <w:name w:val="Table Grid"/>
    <w:basedOn w:val="TableNormal"/>
    <w:rsid w:val="00FF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4A6"/>
    <w:pPr>
      <w:ind w:left="720"/>
      <w:contextualSpacing/>
    </w:pPr>
  </w:style>
  <w:style w:type="paragraph" w:styleId="NormalWeb">
    <w:name w:val="Normal (Web)"/>
    <w:basedOn w:val="Normal"/>
    <w:uiPriority w:val="99"/>
    <w:unhideWhenUsed/>
    <w:rsid w:val="00425FF3"/>
    <w:pPr>
      <w:spacing w:before="100" w:beforeAutospacing="1" w:after="100" w:afterAutospacing="1"/>
    </w:pPr>
    <w:rPr>
      <w:rFonts w:ascii="Times New Roman" w:eastAsiaTheme="minorEastAsia" w:hAnsi="Times New Roman"/>
    </w:rPr>
  </w:style>
  <w:style w:type="paragraph" w:styleId="Caption">
    <w:name w:val="caption"/>
    <w:basedOn w:val="Normal"/>
    <w:next w:val="Normal"/>
    <w:unhideWhenUsed/>
    <w:qFormat/>
    <w:rsid w:val="00DA3B9C"/>
    <w:pPr>
      <w:spacing w:after="200"/>
    </w:pPr>
    <w:rPr>
      <w:b/>
      <w:bCs/>
      <w:color w:val="4F81BD" w:themeColor="accent1"/>
      <w:sz w:val="18"/>
      <w:szCs w:val="18"/>
    </w:rPr>
  </w:style>
  <w:style w:type="character" w:styleId="Hyperlink">
    <w:name w:val="Hyperlink"/>
    <w:basedOn w:val="DefaultParagraphFont"/>
    <w:rsid w:val="001962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3F3AF0"/>
    <w:rPr>
      <w:sz w:val="16"/>
      <w:szCs w:val="16"/>
    </w:rPr>
  </w:style>
  <w:style w:type="paragraph" w:styleId="CommentText">
    <w:name w:val="annotation text"/>
    <w:basedOn w:val="Normal"/>
    <w:link w:val="CommentTextChar"/>
    <w:rsid w:val="003F3AF0"/>
    <w:rPr>
      <w:sz w:val="20"/>
      <w:szCs w:val="20"/>
    </w:rPr>
  </w:style>
  <w:style w:type="character" w:customStyle="1" w:styleId="CommentTextChar">
    <w:name w:val="Comment Text Char"/>
    <w:basedOn w:val="DefaultParagraphFont"/>
    <w:link w:val="CommentText"/>
    <w:rsid w:val="003F3AF0"/>
    <w:rPr>
      <w:rFonts w:ascii="Arial" w:hAnsi="Arial"/>
    </w:rPr>
  </w:style>
  <w:style w:type="paragraph" w:styleId="CommentSubject">
    <w:name w:val="annotation subject"/>
    <w:basedOn w:val="CommentText"/>
    <w:next w:val="CommentText"/>
    <w:link w:val="CommentSubjectChar"/>
    <w:rsid w:val="003F3AF0"/>
    <w:rPr>
      <w:b/>
      <w:bCs/>
    </w:rPr>
  </w:style>
  <w:style w:type="character" w:customStyle="1" w:styleId="CommentSubjectChar">
    <w:name w:val="Comment Subject Char"/>
    <w:basedOn w:val="CommentTextChar"/>
    <w:link w:val="CommentSubject"/>
    <w:rsid w:val="003F3AF0"/>
    <w:rPr>
      <w:rFonts w:ascii="Arial" w:hAnsi="Arial"/>
      <w:b/>
      <w:bCs/>
    </w:rPr>
  </w:style>
  <w:style w:type="paragraph" w:styleId="BalloonText">
    <w:name w:val="Balloon Text"/>
    <w:basedOn w:val="Normal"/>
    <w:link w:val="BalloonTextChar"/>
    <w:rsid w:val="003F3AF0"/>
    <w:rPr>
      <w:rFonts w:ascii="Tahoma" w:hAnsi="Tahoma" w:cs="Tahoma"/>
      <w:sz w:val="16"/>
      <w:szCs w:val="16"/>
    </w:rPr>
  </w:style>
  <w:style w:type="character" w:customStyle="1" w:styleId="BalloonTextChar">
    <w:name w:val="Balloon Text Char"/>
    <w:basedOn w:val="DefaultParagraphFont"/>
    <w:link w:val="BalloonText"/>
    <w:rsid w:val="003F3AF0"/>
    <w:rPr>
      <w:rFonts w:ascii="Tahoma" w:hAnsi="Tahoma" w:cs="Tahoma"/>
      <w:sz w:val="16"/>
      <w:szCs w:val="16"/>
    </w:rPr>
  </w:style>
  <w:style w:type="table" w:styleId="TableGrid">
    <w:name w:val="Table Grid"/>
    <w:basedOn w:val="TableNormal"/>
    <w:rsid w:val="00FF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4A6"/>
    <w:pPr>
      <w:ind w:left="720"/>
      <w:contextualSpacing/>
    </w:pPr>
  </w:style>
  <w:style w:type="paragraph" w:styleId="NormalWeb">
    <w:name w:val="Normal (Web)"/>
    <w:basedOn w:val="Normal"/>
    <w:uiPriority w:val="99"/>
    <w:unhideWhenUsed/>
    <w:rsid w:val="00425FF3"/>
    <w:pPr>
      <w:spacing w:before="100" w:beforeAutospacing="1" w:after="100" w:afterAutospacing="1"/>
    </w:pPr>
    <w:rPr>
      <w:rFonts w:ascii="Times New Roman" w:eastAsiaTheme="minorEastAsia" w:hAnsi="Times New Roman"/>
    </w:rPr>
  </w:style>
  <w:style w:type="paragraph" w:styleId="Caption">
    <w:name w:val="caption"/>
    <w:basedOn w:val="Normal"/>
    <w:next w:val="Normal"/>
    <w:unhideWhenUsed/>
    <w:qFormat/>
    <w:rsid w:val="00DA3B9C"/>
    <w:pPr>
      <w:spacing w:after="200"/>
    </w:pPr>
    <w:rPr>
      <w:b/>
      <w:bCs/>
      <w:color w:val="4F81BD" w:themeColor="accent1"/>
      <w:sz w:val="18"/>
      <w:szCs w:val="18"/>
    </w:rPr>
  </w:style>
  <w:style w:type="character" w:styleId="Hyperlink">
    <w:name w:val="Hyperlink"/>
    <w:basedOn w:val="DefaultParagraphFont"/>
    <w:rsid w:val="00196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9133">
      <w:bodyDiv w:val="1"/>
      <w:marLeft w:val="0"/>
      <w:marRight w:val="0"/>
      <w:marTop w:val="0"/>
      <w:marBottom w:val="0"/>
      <w:divBdr>
        <w:top w:val="none" w:sz="0" w:space="0" w:color="auto"/>
        <w:left w:val="none" w:sz="0" w:space="0" w:color="auto"/>
        <w:bottom w:val="none" w:sz="0" w:space="0" w:color="auto"/>
        <w:right w:val="none" w:sz="0" w:space="0" w:color="auto"/>
      </w:divBdr>
      <w:divsChild>
        <w:div w:id="1546984643">
          <w:marLeft w:val="547"/>
          <w:marRight w:val="0"/>
          <w:marTop w:val="0"/>
          <w:marBottom w:val="0"/>
          <w:divBdr>
            <w:top w:val="none" w:sz="0" w:space="0" w:color="auto"/>
            <w:left w:val="none" w:sz="0" w:space="0" w:color="auto"/>
            <w:bottom w:val="none" w:sz="0" w:space="0" w:color="auto"/>
            <w:right w:val="none" w:sz="0" w:space="0" w:color="auto"/>
          </w:divBdr>
        </w:div>
        <w:div w:id="2003702776">
          <w:marLeft w:val="547"/>
          <w:marRight w:val="0"/>
          <w:marTop w:val="0"/>
          <w:marBottom w:val="0"/>
          <w:divBdr>
            <w:top w:val="none" w:sz="0" w:space="0" w:color="auto"/>
            <w:left w:val="none" w:sz="0" w:space="0" w:color="auto"/>
            <w:bottom w:val="none" w:sz="0" w:space="0" w:color="auto"/>
            <w:right w:val="none" w:sz="0" w:space="0" w:color="auto"/>
          </w:divBdr>
        </w:div>
        <w:div w:id="39983225">
          <w:marLeft w:val="547"/>
          <w:marRight w:val="0"/>
          <w:marTop w:val="0"/>
          <w:marBottom w:val="0"/>
          <w:divBdr>
            <w:top w:val="none" w:sz="0" w:space="0" w:color="auto"/>
            <w:left w:val="none" w:sz="0" w:space="0" w:color="auto"/>
            <w:bottom w:val="none" w:sz="0" w:space="0" w:color="auto"/>
            <w:right w:val="none" w:sz="0" w:space="0" w:color="auto"/>
          </w:divBdr>
        </w:div>
        <w:div w:id="1413506320">
          <w:marLeft w:val="547"/>
          <w:marRight w:val="0"/>
          <w:marTop w:val="0"/>
          <w:marBottom w:val="0"/>
          <w:divBdr>
            <w:top w:val="none" w:sz="0" w:space="0" w:color="auto"/>
            <w:left w:val="none" w:sz="0" w:space="0" w:color="auto"/>
            <w:bottom w:val="none" w:sz="0" w:space="0" w:color="auto"/>
            <w:right w:val="none" w:sz="0" w:space="0" w:color="auto"/>
          </w:divBdr>
        </w:div>
        <w:div w:id="1211847263">
          <w:marLeft w:val="547"/>
          <w:marRight w:val="0"/>
          <w:marTop w:val="0"/>
          <w:marBottom w:val="0"/>
          <w:divBdr>
            <w:top w:val="none" w:sz="0" w:space="0" w:color="auto"/>
            <w:left w:val="none" w:sz="0" w:space="0" w:color="auto"/>
            <w:bottom w:val="none" w:sz="0" w:space="0" w:color="auto"/>
            <w:right w:val="none" w:sz="0" w:space="0" w:color="auto"/>
          </w:divBdr>
        </w:div>
        <w:div w:id="4668270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stic.violence@towerhamlets.gov.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C6C8-1C63-4CD8-907F-123B8B9C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8637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Connor</dc:creator>
  <cp:lastModifiedBy>Sarah Francis</cp:lastModifiedBy>
  <cp:revision>2</cp:revision>
  <cp:lastPrinted>2014-05-20T10:30:00Z</cp:lastPrinted>
  <dcterms:created xsi:type="dcterms:W3CDTF">2018-07-23T14:07:00Z</dcterms:created>
  <dcterms:modified xsi:type="dcterms:W3CDTF">2018-07-23T14:07:00Z</dcterms:modified>
</cp:coreProperties>
</file>