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ABEDD" w14:textId="77777777" w:rsidR="00E919D2" w:rsidRDefault="00E919D2" w:rsidP="00D10D4E">
      <w:pPr>
        <w:jc w:val="center"/>
      </w:pPr>
      <w:bookmarkStart w:id="0" w:name="_GoBack"/>
      <w:bookmarkEnd w:id="0"/>
    </w:p>
    <w:p w14:paraId="28D168BF" w14:textId="77777777" w:rsidR="00904EE8" w:rsidRDefault="00904EE8" w:rsidP="004E4053"/>
    <w:p w14:paraId="4398FF79" w14:textId="0644C5F2" w:rsidR="00D10D4E" w:rsidRDefault="00D10D4E" w:rsidP="00904EE8">
      <w:pPr>
        <w:jc w:val="center"/>
        <w:rPr>
          <w:rFonts w:ascii="Arial" w:hAnsi="Arial" w:cs="Arial"/>
          <w:b/>
          <w:sz w:val="24"/>
          <w:szCs w:val="24"/>
          <w:u w:val="single"/>
        </w:rPr>
      </w:pPr>
      <w:r w:rsidRPr="00061BE7">
        <w:rPr>
          <w:rFonts w:ascii="Arial" w:hAnsi="Arial" w:cs="Arial"/>
          <w:b/>
          <w:sz w:val="24"/>
          <w:szCs w:val="24"/>
          <w:u w:val="single"/>
        </w:rPr>
        <w:t>Internal Secondment Policy</w:t>
      </w:r>
    </w:p>
    <w:p w14:paraId="59BD2FD3" w14:textId="77777777" w:rsidR="00816B04" w:rsidRPr="00AC5F76" w:rsidRDefault="00816B04" w:rsidP="00904EE8">
      <w:pPr>
        <w:rPr>
          <w:rFonts w:ascii="Arial" w:hAnsi="Arial" w:cs="Arial"/>
          <w:b/>
          <w:i/>
          <w:sz w:val="24"/>
          <w:szCs w:val="24"/>
        </w:rPr>
      </w:pPr>
    </w:p>
    <w:p w14:paraId="2CF87814" w14:textId="2F41D073" w:rsidR="00C4185F" w:rsidRDefault="00C03874" w:rsidP="006E6D1A">
      <w:pPr>
        <w:jc w:val="both"/>
        <w:rPr>
          <w:rFonts w:ascii="Arial" w:hAnsi="Arial" w:cs="Arial"/>
          <w:b/>
          <w:i/>
        </w:rPr>
      </w:pPr>
      <w:r>
        <w:rPr>
          <w:rFonts w:ascii="Arial" w:hAnsi="Arial" w:cs="Arial"/>
          <w:b/>
          <w:i/>
        </w:rPr>
        <w:t>Issued October</w:t>
      </w:r>
      <w:r w:rsidR="007306A1">
        <w:rPr>
          <w:rFonts w:ascii="Arial" w:hAnsi="Arial" w:cs="Arial"/>
          <w:b/>
          <w:i/>
        </w:rPr>
        <w:t xml:space="preserve"> </w:t>
      </w:r>
      <w:r w:rsidR="00A842C6" w:rsidRPr="006E6D1A">
        <w:rPr>
          <w:rFonts w:ascii="Arial" w:hAnsi="Arial" w:cs="Arial"/>
          <w:b/>
          <w:i/>
        </w:rPr>
        <w:t>2016</w:t>
      </w:r>
    </w:p>
    <w:p w14:paraId="3EFF109C" w14:textId="506ECF5C" w:rsidR="00346DD8" w:rsidRDefault="001870DD" w:rsidP="006E6D1A">
      <w:pPr>
        <w:jc w:val="both"/>
        <w:rPr>
          <w:rFonts w:ascii="Arial" w:hAnsi="Arial" w:cs="Arial"/>
          <w:b/>
          <w:i/>
        </w:rPr>
      </w:pPr>
      <w:r>
        <w:rPr>
          <w:rFonts w:ascii="Arial" w:hAnsi="Arial" w:cs="Arial"/>
          <w:b/>
          <w:i/>
        </w:rPr>
        <w:t>Updated July 2017</w:t>
      </w:r>
      <w:r w:rsidR="00346DD8">
        <w:rPr>
          <w:rFonts w:ascii="Arial" w:hAnsi="Arial" w:cs="Arial"/>
          <w:b/>
          <w:i/>
        </w:rPr>
        <w:t>: deletion of managerial approval for applications</w:t>
      </w:r>
      <w:r w:rsidR="00AC4E21">
        <w:rPr>
          <w:rFonts w:ascii="Arial" w:hAnsi="Arial" w:cs="Arial"/>
          <w:b/>
          <w:i/>
        </w:rPr>
        <w:t>; insertion of advertising secondments beyond 12 months with HR agreement</w:t>
      </w:r>
    </w:p>
    <w:p w14:paraId="0F299C0C" w14:textId="77777777" w:rsidR="00346DD8" w:rsidRPr="006E6D1A" w:rsidRDefault="00346DD8" w:rsidP="006E6D1A">
      <w:pPr>
        <w:jc w:val="both"/>
        <w:rPr>
          <w:rFonts w:ascii="Arial" w:hAnsi="Arial" w:cs="Arial"/>
          <w:b/>
          <w:i/>
        </w:rPr>
      </w:pPr>
    </w:p>
    <w:p w14:paraId="4AD2BFB5" w14:textId="77777777" w:rsidR="001819F7" w:rsidRPr="001819F7" w:rsidRDefault="00274A62" w:rsidP="006E6D1A">
      <w:pPr>
        <w:pStyle w:val="TOC1"/>
        <w:tabs>
          <w:tab w:val="left" w:pos="440"/>
          <w:tab w:val="right" w:leader="dot" w:pos="9016"/>
        </w:tabs>
        <w:jc w:val="both"/>
        <w:rPr>
          <w:rFonts w:ascii="Arial" w:eastAsiaTheme="minorEastAsia" w:hAnsi="Arial" w:cs="Arial"/>
          <w:noProof/>
          <w:sz w:val="24"/>
          <w:szCs w:val="24"/>
          <w:lang w:eastAsia="en-GB"/>
        </w:rPr>
      </w:pPr>
      <w:r w:rsidRPr="00702931">
        <w:rPr>
          <w:rFonts w:ascii="Arial" w:hAnsi="Arial" w:cs="Arial"/>
          <w:sz w:val="24"/>
          <w:szCs w:val="24"/>
          <w:u w:val="single"/>
        </w:rPr>
        <w:fldChar w:fldCharType="begin"/>
      </w:r>
      <w:r w:rsidRPr="00702931">
        <w:rPr>
          <w:rFonts w:ascii="Arial" w:hAnsi="Arial" w:cs="Arial"/>
          <w:sz w:val="24"/>
          <w:szCs w:val="24"/>
          <w:u w:val="single"/>
        </w:rPr>
        <w:instrText xml:space="preserve"> TOC \o "1-3" \h \z \u </w:instrText>
      </w:r>
      <w:r w:rsidRPr="00702931">
        <w:rPr>
          <w:rFonts w:ascii="Arial" w:hAnsi="Arial" w:cs="Arial"/>
          <w:sz w:val="24"/>
          <w:szCs w:val="24"/>
          <w:u w:val="single"/>
        </w:rPr>
        <w:fldChar w:fldCharType="separate"/>
      </w:r>
      <w:hyperlink w:anchor="_Toc451245720" w:history="1">
        <w:r w:rsidR="001819F7" w:rsidRPr="001819F7">
          <w:rPr>
            <w:rStyle w:val="Hyperlink"/>
            <w:rFonts w:ascii="Arial" w:hAnsi="Arial" w:cs="Arial"/>
            <w:noProof/>
            <w:sz w:val="24"/>
            <w:szCs w:val="24"/>
          </w:rPr>
          <w:t>1.</w:t>
        </w:r>
        <w:r w:rsidR="001819F7" w:rsidRPr="001819F7">
          <w:rPr>
            <w:rFonts w:ascii="Arial" w:eastAsiaTheme="minorEastAsia" w:hAnsi="Arial" w:cs="Arial"/>
            <w:noProof/>
            <w:sz w:val="24"/>
            <w:szCs w:val="24"/>
            <w:lang w:eastAsia="en-GB"/>
          </w:rPr>
          <w:tab/>
        </w:r>
        <w:r w:rsidR="001819F7" w:rsidRPr="001819F7">
          <w:rPr>
            <w:rStyle w:val="Hyperlink"/>
            <w:rFonts w:ascii="Arial" w:hAnsi="Arial" w:cs="Arial"/>
            <w:noProof/>
            <w:sz w:val="24"/>
            <w:szCs w:val="24"/>
          </w:rPr>
          <w:t>Introduction</w:t>
        </w:r>
        <w:r w:rsidR="001819F7" w:rsidRPr="001819F7">
          <w:rPr>
            <w:rFonts w:ascii="Arial" w:hAnsi="Arial" w:cs="Arial"/>
            <w:noProof/>
            <w:webHidden/>
            <w:sz w:val="24"/>
            <w:szCs w:val="24"/>
          </w:rPr>
          <w:tab/>
        </w:r>
        <w:r w:rsidR="001819F7" w:rsidRPr="001819F7">
          <w:rPr>
            <w:rFonts w:ascii="Arial" w:hAnsi="Arial" w:cs="Arial"/>
            <w:noProof/>
            <w:webHidden/>
            <w:sz w:val="24"/>
            <w:szCs w:val="24"/>
          </w:rPr>
          <w:fldChar w:fldCharType="begin"/>
        </w:r>
        <w:r w:rsidR="001819F7" w:rsidRPr="001819F7">
          <w:rPr>
            <w:rFonts w:ascii="Arial" w:hAnsi="Arial" w:cs="Arial"/>
            <w:noProof/>
            <w:webHidden/>
            <w:sz w:val="24"/>
            <w:szCs w:val="24"/>
          </w:rPr>
          <w:instrText xml:space="preserve"> PAGEREF _Toc451245720 \h </w:instrText>
        </w:r>
        <w:r w:rsidR="001819F7" w:rsidRPr="001819F7">
          <w:rPr>
            <w:rFonts w:ascii="Arial" w:hAnsi="Arial" w:cs="Arial"/>
            <w:noProof/>
            <w:webHidden/>
            <w:sz w:val="24"/>
            <w:szCs w:val="24"/>
          </w:rPr>
        </w:r>
        <w:r w:rsidR="001819F7" w:rsidRPr="001819F7">
          <w:rPr>
            <w:rFonts w:ascii="Arial" w:hAnsi="Arial" w:cs="Arial"/>
            <w:noProof/>
            <w:webHidden/>
            <w:sz w:val="24"/>
            <w:szCs w:val="24"/>
          </w:rPr>
          <w:fldChar w:fldCharType="separate"/>
        </w:r>
        <w:r w:rsidR="001819F7" w:rsidRPr="001819F7">
          <w:rPr>
            <w:rFonts w:ascii="Arial" w:hAnsi="Arial" w:cs="Arial"/>
            <w:noProof/>
            <w:webHidden/>
            <w:sz w:val="24"/>
            <w:szCs w:val="24"/>
          </w:rPr>
          <w:t>1</w:t>
        </w:r>
        <w:r w:rsidR="001819F7" w:rsidRPr="001819F7">
          <w:rPr>
            <w:rFonts w:ascii="Arial" w:hAnsi="Arial" w:cs="Arial"/>
            <w:noProof/>
            <w:webHidden/>
            <w:sz w:val="24"/>
            <w:szCs w:val="24"/>
          </w:rPr>
          <w:fldChar w:fldCharType="end"/>
        </w:r>
      </w:hyperlink>
    </w:p>
    <w:p w14:paraId="12116C2E" w14:textId="77777777" w:rsidR="001819F7" w:rsidRPr="001819F7" w:rsidRDefault="008471C2" w:rsidP="006E6D1A">
      <w:pPr>
        <w:pStyle w:val="TOC1"/>
        <w:tabs>
          <w:tab w:val="left" w:pos="440"/>
          <w:tab w:val="right" w:leader="dot" w:pos="9016"/>
        </w:tabs>
        <w:jc w:val="both"/>
        <w:rPr>
          <w:rFonts w:ascii="Arial" w:eastAsiaTheme="minorEastAsia" w:hAnsi="Arial" w:cs="Arial"/>
          <w:noProof/>
          <w:sz w:val="24"/>
          <w:szCs w:val="24"/>
          <w:lang w:eastAsia="en-GB"/>
        </w:rPr>
      </w:pPr>
      <w:hyperlink w:anchor="_Toc451245721" w:history="1">
        <w:r w:rsidR="001819F7" w:rsidRPr="001819F7">
          <w:rPr>
            <w:rStyle w:val="Hyperlink"/>
            <w:rFonts w:ascii="Arial" w:hAnsi="Arial" w:cs="Arial"/>
            <w:noProof/>
            <w:sz w:val="24"/>
            <w:szCs w:val="24"/>
          </w:rPr>
          <w:t>2.</w:t>
        </w:r>
        <w:r w:rsidR="001819F7" w:rsidRPr="001819F7">
          <w:rPr>
            <w:rFonts w:ascii="Arial" w:eastAsiaTheme="minorEastAsia" w:hAnsi="Arial" w:cs="Arial"/>
            <w:noProof/>
            <w:sz w:val="24"/>
            <w:szCs w:val="24"/>
            <w:lang w:eastAsia="en-GB"/>
          </w:rPr>
          <w:tab/>
        </w:r>
        <w:r w:rsidR="001819F7" w:rsidRPr="001819F7">
          <w:rPr>
            <w:rStyle w:val="Hyperlink"/>
            <w:rFonts w:ascii="Arial" w:hAnsi="Arial" w:cs="Arial"/>
            <w:noProof/>
            <w:sz w:val="24"/>
            <w:szCs w:val="24"/>
          </w:rPr>
          <w:t>Scope</w:t>
        </w:r>
        <w:r w:rsidR="001819F7" w:rsidRPr="001819F7">
          <w:rPr>
            <w:rFonts w:ascii="Arial" w:hAnsi="Arial" w:cs="Arial"/>
            <w:noProof/>
            <w:webHidden/>
            <w:sz w:val="24"/>
            <w:szCs w:val="24"/>
          </w:rPr>
          <w:tab/>
        </w:r>
        <w:r w:rsidR="001819F7" w:rsidRPr="001819F7">
          <w:rPr>
            <w:rFonts w:ascii="Arial" w:hAnsi="Arial" w:cs="Arial"/>
            <w:noProof/>
            <w:webHidden/>
            <w:sz w:val="24"/>
            <w:szCs w:val="24"/>
          </w:rPr>
          <w:fldChar w:fldCharType="begin"/>
        </w:r>
        <w:r w:rsidR="001819F7" w:rsidRPr="001819F7">
          <w:rPr>
            <w:rFonts w:ascii="Arial" w:hAnsi="Arial" w:cs="Arial"/>
            <w:noProof/>
            <w:webHidden/>
            <w:sz w:val="24"/>
            <w:szCs w:val="24"/>
          </w:rPr>
          <w:instrText xml:space="preserve"> PAGEREF _Toc451245721 \h </w:instrText>
        </w:r>
        <w:r w:rsidR="001819F7" w:rsidRPr="001819F7">
          <w:rPr>
            <w:rFonts w:ascii="Arial" w:hAnsi="Arial" w:cs="Arial"/>
            <w:noProof/>
            <w:webHidden/>
            <w:sz w:val="24"/>
            <w:szCs w:val="24"/>
          </w:rPr>
        </w:r>
        <w:r w:rsidR="001819F7" w:rsidRPr="001819F7">
          <w:rPr>
            <w:rFonts w:ascii="Arial" w:hAnsi="Arial" w:cs="Arial"/>
            <w:noProof/>
            <w:webHidden/>
            <w:sz w:val="24"/>
            <w:szCs w:val="24"/>
          </w:rPr>
          <w:fldChar w:fldCharType="separate"/>
        </w:r>
        <w:r w:rsidR="001819F7" w:rsidRPr="001819F7">
          <w:rPr>
            <w:rFonts w:ascii="Arial" w:hAnsi="Arial" w:cs="Arial"/>
            <w:noProof/>
            <w:webHidden/>
            <w:sz w:val="24"/>
            <w:szCs w:val="24"/>
          </w:rPr>
          <w:t>2</w:t>
        </w:r>
        <w:r w:rsidR="001819F7" w:rsidRPr="001819F7">
          <w:rPr>
            <w:rFonts w:ascii="Arial" w:hAnsi="Arial" w:cs="Arial"/>
            <w:noProof/>
            <w:webHidden/>
            <w:sz w:val="24"/>
            <w:szCs w:val="24"/>
          </w:rPr>
          <w:fldChar w:fldCharType="end"/>
        </w:r>
      </w:hyperlink>
    </w:p>
    <w:p w14:paraId="416FE9FE" w14:textId="77777777" w:rsidR="001819F7" w:rsidRPr="001819F7" w:rsidRDefault="008471C2" w:rsidP="006E6D1A">
      <w:pPr>
        <w:pStyle w:val="TOC1"/>
        <w:tabs>
          <w:tab w:val="left" w:pos="440"/>
          <w:tab w:val="right" w:leader="dot" w:pos="9016"/>
        </w:tabs>
        <w:jc w:val="both"/>
        <w:rPr>
          <w:rFonts w:ascii="Arial" w:eastAsiaTheme="minorEastAsia" w:hAnsi="Arial" w:cs="Arial"/>
          <w:noProof/>
          <w:sz w:val="24"/>
          <w:szCs w:val="24"/>
          <w:lang w:eastAsia="en-GB"/>
        </w:rPr>
      </w:pPr>
      <w:hyperlink w:anchor="_Toc451245722" w:history="1">
        <w:r w:rsidR="001819F7" w:rsidRPr="001819F7">
          <w:rPr>
            <w:rStyle w:val="Hyperlink"/>
            <w:rFonts w:ascii="Arial" w:hAnsi="Arial" w:cs="Arial"/>
            <w:noProof/>
            <w:sz w:val="24"/>
            <w:szCs w:val="24"/>
          </w:rPr>
          <w:t>3.</w:t>
        </w:r>
        <w:r w:rsidR="001819F7" w:rsidRPr="001819F7">
          <w:rPr>
            <w:rFonts w:ascii="Arial" w:eastAsiaTheme="minorEastAsia" w:hAnsi="Arial" w:cs="Arial"/>
            <w:noProof/>
            <w:sz w:val="24"/>
            <w:szCs w:val="24"/>
            <w:lang w:eastAsia="en-GB"/>
          </w:rPr>
          <w:tab/>
        </w:r>
        <w:r w:rsidR="001819F7" w:rsidRPr="001819F7">
          <w:rPr>
            <w:rStyle w:val="Hyperlink"/>
            <w:rFonts w:ascii="Arial" w:hAnsi="Arial" w:cs="Arial"/>
            <w:noProof/>
            <w:sz w:val="24"/>
            <w:szCs w:val="24"/>
          </w:rPr>
          <w:t>Definitions of terminology</w:t>
        </w:r>
        <w:r w:rsidR="001819F7" w:rsidRPr="001819F7">
          <w:rPr>
            <w:rFonts w:ascii="Arial" w:hAnsi="Arial" w:cs="Arial"/>
            <w:noProof/>
            <w:webHidden/>
            <w:sz w:val="24"/>
            <w:szCs w:val="24"/>
          </w:rPr>
          <w:tab/>
        </w:r>
        <w:r w:rsidR="001819F7" w:rsidRPr="001819F7">
          <w:rPr>
            <w:rFonts w:ascii="Arial" w:hAnsi="Arial" w:cs="Arial"/>
            <w:noProof/>
            <w:webHidden/>
            <w:sz w:val="24"/>
            <w:szCs w:val="24"/>
          </w:rPr>
          <w:fldChar w:fldCharType="begin"/>
        </w:r>
        <w:r w:rsidR="001819F7" w:rsidRPr="001819F7">
          <w:rPr>
            <w:rFonts w:ascii="Arial" w:hAnsi="Arial" w:cs="Arial"/>
            <w:noProof/>
            <w:webHidden/>
            <w:sz w:val="24"/>
            <w:szCs w:val="24"/>
          </w:rPr>
          <w:instrText xml:space="preserve"> PAGEREF _Toc451245722 \h </w:instrText>
        </w:r>
        <w:r w:rsidR="001819F7" w:rsidRPr="001819F7">
          <w:rPr>
            <w:rFonts w:ascii="Arial" w:hAnsi="Arial" w:cs="Arial"/>
            <w:noProof/>
            <w:webHidden/>
            <w:sz w:val="24"/>
            <w:szCs w:val="24"/>
          </w:rPr>
        </w:r>
        <w:r w:rsidR="001819F7" w:rsidRPr="001819F7">
          <w:rPr>
            <w:rFonts w:ascii="Arial" w:hAnsi="Arial" w:cs="Arial"/>
            <w:noProof/>
            <w:webHidden/>
            <w:sz w:val="24"/>
            <w:szCs w:val="24"/>
          </w:rPr>
          <w:fldChar w:fldCharType="separate"/>
        </w:r>
        <w:r w:rsidR="001819F7" w:rsidRPr="001819F7">
          <w:rPr>
            <w:rFonts w:ascii="Arial" w:hAnsi="Arial" w:cs="Arial"/>
            <w:noProof/>
            <w:webHidden/>
            <w:sz w:val="24"/>
            <w:szCs w:val="24"/>
          </w:rPr>
          <w:t>2</w:t>
        </w:r>
        <w:r w:rsidR="001819F7" w:rsidRPr="001819F7">
          <w:rPr>
            <w:rFonts w:ascii="Arial" w:hAnsi="Arial" w:cs="Arial"/>
            <w:noProof/>
            <w:webHidden/>
            <w:sz w:val="24"/>
            <w:szCs w:val="24"/>
          </w:rPr>
          <w:fldChar w:fldCharType="end"/>
        </w:r>
      </w:hyperlink>
    </w:p>
    <w:p w14:paraId="7D708179" w14:textId="77777777" w:rsidR="001819F7" w:rsidRPr="001819F7" w:rsidRDefault="008471C2" w:rsidP="006E6D1A">
      <w:pPr>
        <w:pStyle w:val="TOC1"/>
        <w:tabs>
          <w:tab w:val="left" w:pos="440"/>
          <w:tab w:val="right" w:leader="dot" w:pos="9016"/>
        </w:tabs>
        <w:jc w:val="both"/>
        <w:rPr>
          <w:rFonts w:ascii="Arial" w:eastAsiaTheme="minorEastAsia" w:hAnsi="Arial" w:cs="Arial"/>
          <w:noProof/>
          <w:sz w:val="24"/>
          <w:szCs w:val="24"/>
          <w:lang w:eastAsia="en-GB"/>
        </w:rPr>
      </w:pPr>
      <w:hyperlink w:anchor="_Toc451245723" w:history="1">
        <w:r w:rsidR="001819F7" w:rsidRPr="001819F7">
          <w:rPr>
            <w:rStyle w:val="Hyperlink"/>
            <w:rFonts w:ascii="Arial" w:hAnsi="Arial" w:cs="Arial"/>
            <w:noProof/>
            <w:sz w:val="24"/>
            <w:szCs w:val="24"/>
          </w:rPr>
          <w:t>4.</w:t>
        </w:r>
        <w:r w:rsidR="001819F7" w:rsidRPr="001819F7">
          <w:rPr>
            <w:rFonts w:ascii="Arial" w:eastAsiaTheme="minorEastAsia" w:hAnsi="Arial" w:cs="Arial"/>
            <w:noProof/>
            <w:sz w:val="24"/>
            <w:szCs w:val="24"/>
            <w:lang w:eastAsia="en-GB"/>
          </w:rPr>
          <w:tab/>
        </w:r>
        <w:r w:rsidR="001819F7" w:rsidRPr="001819F7">
          <w:rPr>
            <w:rStyle w:val="Hyperlink"/>
            <w:rFonts w:ascii="Arial" w:hAnsi="Arial" w:cs="Arial"/>
            <w:noProof/>
            <w:sz w:val="24"/>
            <w:szCs w:val="24"/>
          </w:rPr>
          <w:t>Application</w:t>
        </w:r>
        <w:r w:rsidR="001819F7" w:rsidRPr="001819F7">
          <w:rPr>
            <w:rFonts w:ascii="Arial" w:hAnsi="Arial" w:cs="Arial"/>
            <w:noProof/>
            <w:webHidden/>
            <w:sz w:val="24"/>
            <w:szCs w:val="24"/>
          </w:rPr>
          <w:tab/>
        </w:r>
        <w:r w:rsidR="001819F7" w:rsidRPr="001819F7">
          <w:rPr>
            <w:rFonts w:ascii="Arial" w:hAnsi="Arial" w:cs="Arial"/>
            <w:noProof/>
            <w:webHidden/>
            <w:sz w:val="24"/>
            <w:szCs w:val="24"/>
          </w:rPr>
          <w:fldChar w:fldCharType="begin"/>
        </w:r>
        <w:r w:rsidR="001819F7" w:rsidRPr="001819F7">
          <w:rPr>
            <w:rFonts w:ascii="Arial" w:hAnsi="Arial" w:cs="Arial"/>
            <w:noProof/>
            <w:webHidden/>
            <w:sz w:val="24"/>
            <w:szCs w:val="24"/>
          </w:rPr>
          <w:instrText xml:space="preserve"> PAGEREF _Toc451245723 \h </w:instrText>
        </w:r>
        <w:r w:rsidR="001819F7" w:rsidRPr="001819F7">
          <w:rPr>
            <w:rFonts w:ascii="Arial" w:hAnsi="Arial" w:cs="Arial"/>
            <w:noProof/>
            <w:webHidden/>
            <w:sz w:val="24"/>
            <w:szCs w:val="24"/>
          </w:rPr>
        </w:r>
        <w:r w:rsidR="001819F7" w:rsidRPr="001819F7">
          <w:rPr>
            <w:rFonts w:ascii="Arial" w:hAnsi="Arial" w:cs="Arial"/>
            <w:noProof/>
            <w:webHidden/>
            <w:sz w:val="24"/>
            <w:szCs w:val="24"/>
          </w:rPr>
          <w:fldChar w:fldCharType="separate"/>
        </w:r>
        <w:r w:rsidR="001819F7" w:rsidRPr="001819F7">
          <w:rPr>
            <w:rFonts w:ascii="Arial" w:hAnsi="Arial" w:cs="Arial"/>
            <w:noProof/>
            <w:webHidden/>
            <w:sz w:val="24"/>
            <w:szCs w:val="24"/>
          </w:rPr>
          <w:t>3</w:t>
        </w:r>
        <w:r w:rsidR="001819F7" w:rsidRPr="001819F7">
          <w:rPr>
            <w:rFonts w:ascii="Arial" w:hAnsi="Arial" w:cs="Arial"/>
            <w:noProof/>
            <w:webHidden/>
            <w:sz w:val="24"/>
            <w:szCs w:val="24"/>
          </w:rPr>
          <w:fldChar w:fldCharType="end"/>
        </w:r>
      </w:hyperlink>
    </w:p>
    <w:p w14:paraId="6023F4BE" w14:textId="77777777" w:rsidR="001819F7" w:rsidRDefault="008471C2" w:rsidP="006E6D1A">
      <w:pPr>
        <w:pStyle w:val="TOC1"/>
        <w:tabs>
          <w:tab w:val="left" w:pos="440"/>
          <w:tab w:val="right" w:leader="dot" w:pos="9016"/>
        </w:tabs>
        <w:jc w:val="both"/>
        <w:rPr>
          <w:rFonts w:eastAsiaTheme="minorEastAsia"/>
          <w:noProof/>
          <w:lang w:eastAsia="en-GB"/>
        </w:rPr>
      </w:pPr>
      <w:hyperlink w:anchor="_Toc451245724" w:history="1">
        <w:r w:rsidR="001819F7" w:rsidRPr="001819F7">
          <w:rPr>
            <w:rStyle w:val="Hyperlink"/>
            <w:rFonts w:ascii="Arial" w:hAnsi="Arial" w:cs="Arial"/>
            <w:noProof/>
            <w:sz w:val="24"/>
            <w:szCs w:val="24"/>
          </w:rPr>
          <w:t>5.</w:t>
        </w:r>
        <w:r w:rsidR="001819F7" w:rsidRPr="001819F7">
          <w:rPr>
            <w:rFonts w:ascii="Arial" w:eastAsiaTheme="minorEastAsia" w:hAnsi="Arial" w:cs="Arial"/>
            <w:noProof/>
            <w:sz w:val="24"/>
            <w:szCs w:val="24"/>
            <w:lang w:eastAsia="en-GB"/>
          </w:rPr>
          <w:tab/>
        </w:r>
        <w:r w:rsidR="001819F7" w:rsidRPr="001819F7">
          <w:rPr>
            <w:rStyle w:val="Hyperlink"/>
            <w:rFonts w:ascii="Arial" w:hAnsi="Arial" w:cs="Arial"/>
            <w:noProof/>
            <w:sz w:val="24"/>
            <w:szCs w:val="24"/>
          </w:rPr>
          <w:t>Provisions</w:t>
        </w:r>
        <w:r w:rsidR="001819F7" w:rsidRPr="001819F7">
          <w:rPr>
            <w:rFonts w:ascii="Arial" w:hAnsi="Arial" w:cs="Arial"/>
            <w:noProof/>
            <w:webHidden/>
            <w:sz w:val="24"/>
            <w:szCs w:val="24"/>
          </w:rPr>
          <w:tab/>
        </w:r>
        <w:r w:rsidR="001819F7" w:rsidRPr="001819F7">
          <w:rPr>
            <w:rFonts w:ascii="Arial" w:hAnsi="Arial" w:cs="Arial"/>
            <w:noProof/>
            <w:webHidden/>
            <w:sz w:val="24"/>
            <w:szCs w:val="24"/>
          </w:rPr>
          <w:fldChar w:fldCharType="begin"/>
        </w:r>
        <w:r w:rsidR="001819F7" w:rsidRPr="001819F7">
          <w:rPr>
            <w:rFonts w:ascii="Arial" w:hAnsi="Arial" w:cs="Arial"/>
            <w:noProof/>
            <w:webHidden/>
            <w:sz w:val="24"/>
            <w:szCs w:val="24"/>
          </w:rPr>
          <w:instrText xml:space="preserve"> PAGEREF _Toc451245724 \h </w:instrText>
        </w:r>
        <w:r w:rsidR="001819F7" w:rsidRPr="001819F7">
          <w:rPr>
            <w:rFonts w:ascii="Arial" w:hAnsi="Arial" w:cs="Arial"/>
            <w:noProof/>
            <w:webHidden/>
            <w:sz w:val="24"/>
            <w:szCs w:val="24"/>
          </w:rPr>
        </w:r>
        <w:r w:rsidR="001819F7" w:rsidRPr="001819F7">
          <w:rPr>
            <w:rFonts w:ascii="Arial" w:hAnsi="Arial" w:cs="Arial"/>
            <w:noProof/>
            <w:webHidden/>
            <w:sz w:val="24"/>
            <w:szCs w:val="24"/>
          </w:rPr>
          <w:fldChar w:fldCharType="separate"/>
        </w:r>
        <w:r w:rsidR="001819F7" w:rsidRPr="001819F7">
          <w:rPr>
            <w:rFonts w:ascii="Arial" w:hAnsi="Arial" w:cs="Arial"/>
            <w:noProof/>
            <w:webHidden/>
            <w:sz w:val="24"/>
            <w:szCs w:val="24"/>
          </w:rPr>
          <w:t>3</w:t>
        </w:r>
        <w:r w:rsidR="001819F7" w:rsidRPr="001819F7">
          <w:rPr>
            <w:rFonts w:ascii="Arial" w:hAnsi="Arial" w:cs="Arial"/>
            <w:noProof/>
            <w:webHidden/>
            <w:sz w:val="24"/>
            <w:szCs w:val="24"/>
          </w:rPr>
          <w:fldChar w:fldCharType="end"/>
        </w:r>
      </w:hyperlink>
    </w:p>
    <w:p w14:paraId="145B6BE0" w14:textId="6BBC0F2C" w:rsidR="00904EE8" w:rsidRPr="00712EFE" w:rsidRDefault="00274A62" w:rsidP="006E6D1A">
      <w:pPr>
        <w:tabs>
          <w:tab w:val="left" w:pos="1440"/>
        </w:tabs>
        <w:jc w:val="both"/>
        <w:rPr>
          <w:rFonts w:ascii="Arial" w:hAnsi="Arial" w:cs="Arial"/>
          <w:sz w:val="24"/>
          <w:szCs w:val="24"/>
          <w:u w:val="single"/>
        </w:rPr>
      </w:pPr>
      <w:r w:rsidRPr="00702931">
        <w:rPr>
          <w:rFonts w:ascii="Arial" w:hAnsi="Arial" w:cs="Arial"/>
          <w:sz w:val="24"/>
          <w:szCs w:val="24"/>
          <w:u w:val="single"/>
        </w:rPr>
        <w:fldChar w:fldCharType="end"/>
      </w:r>
    </w:p>
    <w:p w14:paraId="21D0DE9E" w14:textId="64F91183" w:rsidR="00BD324B" w:rsidRDefault="00822360" w:rsidP="006E6D1A">
      <w:pPr>
        <w:pStyle w:val="Heading1"/>
        <w:spacing w:line="240" w:lineRule="auto"/>
        <w:jc w:val="both"/>
        <w:rPr>
          <w:rFonts w:ascii="Arial" w:hAnsi="Arial" w:cs="Arial"/>
          <w:color w:val="auto"/>
          <w:sz w:val="24"/>
          <w:szCs w:val="24"/>
        </w:rPr>
      </w:pPr>
      <w:bookmarkStart w:id="1" w:name="_Toc451245720"/>
      <w:r w:rsidRPr="00822360">
        <w:rPr>
          <w:rFonts w:ascii="Arial" w:hAnsi="Arial" w:cs="Arial"/>
          <w:bCs w:val="0"/>
          <w:color w:val="auto"/>
          <w:sz w:val="24"/>
          <w:szCs w:val="24"/>
        </w:rPr>
        <w:t>1</w:t>
      </w:r>
      <w:r w:rsidRPr="00822360">
        <w:rPr>
          <w:rFonts w:ascii="Arial" w:hAnsi="Arial" w:cs="Arial"/>
          <w:b w:val="0"/>
          <w:bCs w:val="0"/>
          <w:color w:val="auto"/>
          <w:sz w:val="24"/>
          <w:szCs w:val="24"/>
        </w:rPr>
        <w:t>.</w:t>
      </w:r>
      <w:r>
        <w:rPr>
          <w:rFonts w:ascii="Arial" w:hAnsi="Arial" w:cs="Arial"/>
          <w:color w:val="auto"/>
          <w:sz w:val="24"/>
          <w:szCs w:val="24"/>
        </w:rPr>
        <w:tab/>
      </w:r>
      <w:r w:rsidR="00D10D4E" w:rsidRPr="00274A62">
        <w:rPr>
          <w:rFonts w:ascii="Arial" w:hAnsi="Arial" w:cs="Arial"/>
          <w:color w:val="auto"/>
          <w:sz w:val="24"/>
          <w:szCs w:val="24"/>
        </w:rPr>
        <w:t>Introduction</w:t>
      </w:r>
      <w:bookmarkEnd w:id="1"/>
      <w:r w:rsidR="006842B0" w:rsidRPr="00274A62">
        <w:rPr>
          <w:rFonts w:ascii="Arial" w:hAnsi="Arial" w:cs="Arial"/>
          <w:color w:val="auto"/>
          <w:sz w:val="24"/>
          <w:szCs w:val="24"/>
        </w:rPr>
        <w:tab/>
      </w:r>
    </w:p>
    <w:p w14:paraId="5568F5F7" w14:textId="77777777" w:rsidR="001819F7" w:rsidRPr="001819F7" w:rsidRDefault="001819F7" w:rsidP="006E6D1A">
      <w:pPr>
        <w:jc w:val="both"/>
      </w:pPr>
    </w:p>
    <w:p w14:paraId="5E70D5E0" w14:textId="1BDE4ECB" w:rsidR="006842B0" w:rsidRPr="006842B0" w:rsidRDefault="00116127" w:rsidP="006E6D1A">
      <w:pPr>
        <w:tabs>
          <w:tab w:val="left" w:pos="6315"/>
        </w:tabs>
        <w:spacing w:line="240" w:lineRule="auto"/>
        <w:ind w:left="709" w:hanging="709"/>
        <w:jc w:val="both"/>
        <w:rPr>
          <w:rFonts w:ascii="Arial" w:hAnsi="Arial" w:cs="Arial"/>
          <w:b/>
          <w:sz w:val="24"/>
          <w:szCs w:val="24"/>
        </w:rPr>
      </w:pPr>
      <w:r>
        <w:rPr>
          <w:rFonts w:ascii="Arial" w:hAnsi="Arial" w:cs="Arial"/>
          <w:sz w:val="24"/>
          <w:szCs w:val="24"/>
        </w:rPr>
        <w:t xml:space="preserve">1.1      </w:t>
      </w:r>
      <w:r w:rsidR="008C58CE">
        <w:rPr>
          <w:rFonts w:ascii="Arial" w:hAnsi="Arial" w:cs="Arial"/>
          <w:sz w:val="24"/>
          <w:szCs w:val="24"/>
        </w:rPr>
        <w:t xml:space="preserve">The objectives of an internal </w:t>
      </w:r>
      <w:r w:rsidR="006842B0" w:rsidRPr="006842B0">
        <w:rPr>
          <w:rFonts w:ascii="Arial" w:hAnsi="Arial" w:cs="Arial"/>
          <w:sz w:val="24"/>
          <w:szCs w:val="24"/>
        </w:rPr>
        <w:t>secondment</w:t>
      </w:r>
      <w:r w:rsidR="008C58CE">
        <w:rPr>
          <w:rFonts w:ascii="Arial" w:hAnsi="Arial" w:cs="Arial"/>
          <w:sz w:val="24"/>
          <w:szCs w:val="24"/>
        </w:rPr>
        <w:t xml:space="preserve"> arrangement</w:t>
      </w:r>
      <w:r w:rsidR="006842B0" w:rsidRPr="006842B0">
        <w:rPr>
          <w:rFonts w:ascii="Arial" w:hAnsi="Arial" w:cs="Arial"/>
          <w:sz w:val="24"/>
          <w:szCs w:val="24"/>
        </w:rPr>
        <w:t xml:space="preserve"> </w:t>
      </w:r>
      <w:r w:rsidR="008C58CE">
        <w:rPr>
          <w:rFonts w:ascii="Arial" w:hAnsi="Arial" w:cs="Arial"/>
          <w:sz w:val="24"/>
          <w:szCs w:val="24"/>
        </w:rPr>
        <w:t xml:space="preserve">will be </w:t>
      </w:r>
      <w:r w:rsidR="006842B0" w:rsidRPr="006842B0">
        <w:rPr>
          <w:rFonts w:ascii="Arial" w:hAnsi="Arial" w:cs="Arial"/>
          <w:sz w:val="24"/>
          <w:szCs w:val="24"/>
        </w:rPr>
        <w:t>one or all of the following:</w:t>
      </w:r>
    </w:p>
    <w:p w14:paraId="29C9CB77" w14:textId="29CD1DD1" w:rsidR="006842B0" w:rsidRDefault="008C58CE" w:rsidP="006E6D1A">
      <w:pPr>
        <w:pStyle w:val="ListParagraph"/>
        <w:numPr>
          <w:ilvl w:val="0"/>
          <w:numId w:val="7"/>
        </w:numPr>
        <w:tabs>
          <w:tab w:val="left" w:pos="709"/>
        </w:tabs>
        <w:ind w:right="-618"/>
        <w:jc w:val="both"/>
      </w:pPr>
      <w:r>
        <w:t>To enable employees</w:t>
      </w:r>
      <w:r w:rsidR="006842B0">
        <w:t xml:space="preserve"> to develop new skills and perspectives and enh</w:t>
      </w:r>
      <w:r w:rsidR="00822360">
        <w:t>ance their contribution to the c</w:t>
      </w:r>
      <w:r w:rsidR="006842B0">
        <w:t>ou</w:t>
      </w:r>
      <w:r w:rsidR="00822360">
        <w:t>ncil and their career potential.</w:t>
      </w:r>
    </w:p>
    <w:p w14:paraId="3D8F6CF2" w14:textId="77777777" w:rsidR="006842B0" w:rsidRDefault="006842B0" w:rsidP="006E6D1A">
      <w:pPr>
        <w:pStyle w:val="ListParagraph"/>
        <w:tabs>
          <w:tab w:val="left" w:pos="709"/>
        </w:tabs>
        <w:ind w:left="792" w:right="-618"/>
        <w:jc w:val="both"/>
      </w:pPr>
    </w:p>
    <w:p w14:paraId="42535C27" w14:textId="09F5464A" w:rsidR="006842B0" w:rsidRDefault="006842B0" w:rsidP="006E6D1A">
      <w:pPr>
        <w:pStyle w:val="ListParagraph"/>
        <w:numPr>
          <w:ilvl w:val="0"/>
          <w:numId w:val="7"/>
        </w:numPr>
        <w:tabs>
          <w:tab w:val="left" w:pos="709"/>
        </w:tabs>
        <w:ind w:right="-618"/>
        <w:jc w:val="both"/>
      </w:pPr>
      <w:r>
        <w:t xml:space="preserve">To </w:t>
      </w:r>
      <w:r w:rsidR="00822360">
        <w:t>provide a further means to the c</w:t>
      </w:r>
      <w:r>
        <w:t>ouncil of max</w:t>
      </w:r>
      <w:r w:rsidR="00822360">
        <w:t xml:space="preserve">imising the skills of existing </w:t>
      </w:r>
      <w:r w:rsidR="00D81EE6">
        <w:t>employee’s</w:t>
      </w:r>
      <w:r w:rsidR="003452AD">
        <w:t xml:space="preserve"> </w:t>
      </w:r>
      <w:r>
        <w:t>in contributin</w:t>
      </w:r>
      <w:r w:rsidR="00822360">
        <w:t>g towards its staffing resource.</w:t>
      </w:r>
    </w:p>
    <w:p w14:paraId="13030EA6" w14:textId="77777777" w:rsidR="006842B0" w:rsidRDefault="006842B0" w:rsidP="006E6D1A">
      <w:pPr>
        <w:pStyle w:val="ListParagraph"/>
        <w:jc w:val="both"/>
      </w:pPr>
    </w:p>
    <w:p w14:paraId="2F89CADC" w14:textId="07624067" w:rsidR="00116127" w:rsidRDefault="006842B0" w:rsidP="006E6D1A">
      <w:pPr>
        <w:pStyle w:val="ListParagraph"/>
        <w:numPr>
          <w:ilvl w:val="0"/>
          <w:numId w:val="7"/>
        </w:numPr>
        <w:tabs>
          <w:tab w:val="left" w:pos="709"/>
        </w:tabs>
        <w:ind w:right="-618"/>
        <w:jc w:val="both"/>
        <w:rPr>
          <w:b/>
          <w:bCs/>
        </w:rPr>
      </w:pPr>
      <w:r>
        <w:t>To provide an opportunity for permanent employees to undertake a different role on a temporary basis whilst retaining their right to return to their substantive role.</w:t>
      </w:r>
      <w:r>
        <w:rPr>
          <w:b/>
          <w:bCs/>
        </w:rPr>
        <w:t xml:space="preserve"> </w:t>
      </w:r>
    </w:p>
    <w:p w14:paraId="30D48CDF" w14:textId="77777777" w:rsidR="00A91592" w:rsidRPr="00A91592" w:rsidRDefault="00A91592" w:rsidP="006E6D1A">
      <w:pPr>
        <w:pStyle w:val="ListParagraph"/>
        <w:jc w:val="both"/>
        <w:rPr>
          <w:b/>
          <w:bCs/>
        </w:rPr>
      </w:pPr>
    </w:p>
    <w:p w14:paraId="01283D33" w14:textId="7FC07623" w:rsidR="00A91592" w:rsidRDefault="00A91592" w:rsidP="006E6D1A">
      <w:pPr>
        <w:pStyle w:val="NormalWeb"/>
        <w:shd w:val="clear" w:color="auto" w:fill="FFFFFF"/>
        <w:spacing w:before="0" w:beforeAutospacing="0" w:after="180" w:afterAutospacing="0"/>
        <w:ind w:left="720" w:hanging="720"/>
        <w:jc w:val="both"/>
        <w:rPr>
          <w:rFonts w:ascii="Arial" w:eastAsiaTheme="minorHAnsi" w:hAnsi="Arial" w:cs="Arial"/>
          <w:lang w:eastAsia="en-US"/>
        </w:rPr>
      </w:pPr>
      <w:r>
        <w:rPr>
          <w:rFonts w:ascii="Arial" w:eastAsiaTheme="minorHAnsi" w:hAnsi="Arial" w:cs="Arial"/>
          <w:lang w:eastAsia="en-US"/>
        </w:rPr>
        <w:t>1.2</w:t>
      </w:r>
      <w:r>
        <w:rPr>
          <w:rFonts w:ascii="Arial" w:eastAsiaTheme="minorHAnsi" w:hAnsi="Arial" w:cs="Arial"/>
          <w:lang w:eastAsia="en-US"/>
        </w:rPr>
        <w:tab/>
      </w:r>
      <w:r w:rsidRPr="009C24EF">
        <w:rPr>
          <w:rFonts w:ascii="Arial" w:eastAsiaTheme="minorHAnsi" w:hAnsi="Arial" w:cs="Arial"/>
          <w:lang w:eastAsia="en-US"/>
        </w:rPr>
        <w:t>The council is committed to ensuring the effective </w:t>
      </w:r>
      <w:r w:rsidRPr="00D00D1C">
        <w:rPr>
          <w:rFonts w:ascii="Arial" w:eastAsiaTheme="minorHAnsi" w:hAnsi="Arial" w:cs="Arial"/>
          <w:lang w:eastAsia="en-US"/>
        </w:rPr>
        <w:t>development</w:t>
      </w:r>
      <w:r w:rsidRPr="009C24EF">
        <w:rPr>
          <w:rFonts w:ascii="Arial" w:eastAsiaTheme="minorHAnsi" w:hAnsi="Arial" w:cs="Arial"/>
          <w:lang w:eastAsia="en-US"/>
        </w:rPr>
        <w:t xml:space="preserve"> of all employees. </w:t>
      </w:r>
    </w:p>
    <w:p w14:paraId="2C970125" w14:textId="77777777" w:rsidR="00A91592" w:rsidRPr="009C24EF" w:rsidRDefault="00A91592" w:rsidP="006E6D1A">
      <w:pPr>
        <w:pStyle w:val="NormalWeb"/>
        <w:numPr>
          <w:ilvl w:val="0"/>
          <w:numId w:val="21"/>
        </w:numPr>
        <w:shd w:val="clear" w:color="auto" w:fill="FFFFFF"/>
        <w:spacing w:before="0" w:beforeAutospacing="0" w:after="180" w:afterAutospacing="0"/>
        <w:jc w:val="both"/>
        <w:rPr>
          <w:rFonts w:ascii="Arial" w:eastAsiaTheme="minorHAnsi" w:hAnsi="Arial" w:cs="Arial"/>
          <w:lang w:eastAsia="en-US"/>
        </w:rPr>
      </w:pPr>
      <w:r w:rsidRPr="00D00D1C">
        <w:rPr>
          <w:rFonts w:ascii="Arial" w:eastAsiaTheme="minorHAnsi" w:hAnsi="Arial" w:cs="Arial"/>
          <w:lang w:eastAsia="en-US"/>
        </w:rPr>
        <w:t xml:space="preserve">Personal development </w:t>
      </w:r>
      <w:r w:rsidRPr="009C24EF">
        <w:rPr>
          <w:rFonts w:ascii="Arial" w:eastAsiaTheme="minorHAnsi" w:hAnsi="Arial" w:cs="Arial"/>
          <w:lang w:eastAsia="en-US"/>
        </w:rPr>
        <w:t>is a vital part of the ‘our appraisal’ process. When appropriate at appraisal meetings, employees will be asked by their line manager about their </w:t>
      </w:r>
      <w:r w:rsidRPr="00D00D1C">
        <w:rPr>
          <w:rFonts w:ascii="Arial" w:eastAsiaTheme="minorHAnsi" w:hAnsi="Arial" w:cs="Arial"/>
          <w:lang w:eastAsia="en-US"/>
        </w:rPr>
        <w:t>career</w:t>
      </w:r>
      <w:r w:rsidRPr="009C24EF">
        <w:rPr>
          <w:rFonts w:ascii="Arial" w:eastAsiaTheme="minorHAnsi" w:hAnsi="Arial" w:cs="Arial"/>
          <w:lang w:eastAsia="en-US"/>
        </w:rPr>
        <w:t xml:space="preserve"> ambitions. </w:t>
      </w:r>
    </w:p>
    <w:p w14:paraId="3813A236" w14:textId="6640D57D" w:rsidR="00A91592" w:rsidRDefault="00A91592" w:rsidP="006E6D1A">
      <w:pPr>
        <w:pStyle w:val="NormalWeb"/>
        <w:numPr>
          <w:ilvl w:val="0"/>
          <w:numId w:val="21"/>
        </w:numPr>
        <w:shd w:val="clear" w:color="auto" w:fill="FFFFFF"/>
        <w:spacing w:before="0" w:beforeAutospacing="0" w:after="180" w:afterAutospacing="0"/>
        <w:jc w:val="both"/>
        <w:rPr>
          <w:rFonts w:ascii="Arial" w:eastAsiaTheme="minorHAnsi" w:hAnsi="Arial" w:cs="Arial"/>
          <w:lang w:eastAsia="en-US"/>
        </w:rPr>
      </w:pPr>
      <w:r w:rsidRPr="009C24EF">
        <w:rPr>
          <w:rFonts w:ascii="Arial" w:eastAsiaTheme="minorHAnsi" w:hAnsi="Arial" w:cs="Arial"/>
          <w:lang w:eastAsia="en-US"/>
        </w:rPr>
        <w:t>Employees will be encouraged</w:t>
      </w:r>
      <w:r>
        <w:rPr>
          <w:rFonts w:ascii="Arial" w:eastAsiaTheme="minorHAnsi" w:hAnsi="Arial" w:cs="Arial"/>
          <w:lang w:eastAsia="en-US"/>
        </w:rPr>
        <w:t xml:space="preserve"> to, for example, get</w:t>
      </w:r>
      <w:r w:rsidRPr="009C24EF">
        <w:rPr>
          <w:rFonts w:ascii="Arial" w:eastAsiaTheme="minorHAnsi" w:hAnsi="Arial" w:cs="Arial"/>
          <w:lang w:eastAsia="en-US"/>
        </w:rPr>
        <w:t xml:space="preserve"> involved in</w:t>
      </w:r>
      <w:r w:rsidR="001819F7">
        <w:rPr>
          <w:rFonts w:ascii="Arial" w:eastAsiaTheme="minorHAnsi" w:hAnsi="Arial" w:cs="Arial"/>
          <w:lang w:eastAsia="en-US"/>
        </w:rPr>
        <w:t xml:space="preserve"> staff fora;</w:t>
      </w:r>
      <w:r w:rsidRPr="009C24EF">
        <w:rPr>
          <w:rFonts w:ascii="Arial" w:eastAsiaTheme="minorHAnsi" w:hAnsi="Arial" w:cs="Arial"/>
          <w:lang w:eastAsia="en-US"/>
        </w:rPr>
        <w:t xml:space="preserve"> projects</w:t>
      </w:r>
      <w:r>
        <w:rPr>
          <w:rFonts w:ascii="Arial" w:eastAsiaTheme="minorHAnsi" w:hAnsi="Arial" w:cs="Arial"/>
          <w:b/>
          <w:lang w:eastAsia="en-US"/>
        </w:rPr>
        <w:t xml:space="preserve">, </w:t>
      </w:r>
      <w:r>
        <w:rPr>
          <w:rFonts w:ascii="Arial" w:eastAsiaTheme="minorHAnsi" w:hAnsi="Arial" w:cs="Arial"/>
          <w:lang w:eastAsia="en-US"/>
        </w:rPr>
        <w:t>and/</w:t>
      </w:r>
      <w:r w:rsidRPr="00A91592">
        <w:rPr>
          <w:rFonts w:ascii="Arial" w:eastAsiaTheme="minorHAnsi" w:hAnsi="Arial" w:cs="Arial"/>
          <w:lang w:eastAsia="en-US"/>
        </w:rPr>
        <w:t>or working parties</w:t>
      </w:r>
      <w:r>
        <w:rPr>
          <w:rFonts w:ascii="Arial" w:eastAsiaTheme="minorHAnsi" w:hAnsi="Arial" w:cs="Arial"/>
          <w:b/>
          <w:lang w:eastAsia="en-US"/>
        </w:rPr>
        <w:t xml:space="preserve"> </w:t>
      </w:r>
      <w:r w:rsidRPr="00A91592">
        <w:rPr>
          <w:rFonts w:ascii="Arial" w:eastAsiaTheme="minorHAnsi" w:hAnsi="Arial" w:cs="Arial"/>
          <w:lang w:eastAsia="en-US"/>
        </w:rPr>
        <w:t>and to embrace</w:t>
      </w:r>
      <w:r w:rsidRPr="00D00D1C">
        <w:rPr>
          <w:rFonts w:ascii="Arial" w:eastAsiaTheme="minorHAnsi" w:hAnsi="Arial" w:cs="Arial"/>
          <w:lang w:eastAsia="en-US"/>
        </w:rPr>
        <w:t xml:space="preserve"> ‘</w:t>
      </w:r>
      <w:r w:rsidRPr="002E64AA">
        <w:rPr>
          <w:rFonts w:ascii="Arial" w:eastAsiaTheme="minorHAnsi" w:hAnsi="Arial" w:cs="Arial"/>
          <w:lang w:eastAsia="en-US"/>
        </w:rPr>
        <w:t>acting up</w:t>
      </w:r>
      <w:r w:rsidR="001819F7">
        <w:rPr>
          <w:rFonts w:ascii="Arial" w:eastAsiaTheme="minorHAnsi" w:hAnsi="Arial" w:cs="Arial"/>
          <w:b/>
          <w:lang w:eastAsia="en-US"/>
        </w:rPr>
        <w:t>’;</w:t>
      </w:r>
      <w:r>
        <w:rPr>
          <w:rFonts w:ascii="Arial" w:eastAsiaTheme="minorHAnsi" w:hAnsi="Arial" w:cs="Arial"/>
          <w:b/>
          <w:lang w:eastAsia="en-US"/>
        </w:rPr>
        <w:t xml:space="preserve"> </w:t>
      </w:r>
      <w:r w:rsidRPr="002E64AA">
        <w:rPr>
          <w:rFonts w:ascii="Arial" w:eastAsiaTheme="minorHAnsi" w:hAnsi="Arial" w:cs="Arial"/>
          <w:lang w:eastAsia="en-US"/>
        </w:rPr>
        <w:t>work shadowing</w:t>
      </w:r>
      <w:r>
        <w:rPr>
          <w:rFonts w:ascii="Arial" w:eastAsiaTheme="minorHAnsi" w:hAnsi="Arial" w:cs="Arial"/>
          <w:lang w:eastAsia="en-US"/>
        </w:rPr>
        <w:t>;</w:t>
      </w:r>
      <w:r w:rsidRPr="009C24EF">
        <w:rPr>
          <w:rFonts w:ascii="Arial" w:eastAsiaTheme="minorHAnsi" w:hAnsi="Arial" w:cs="Arial"/>
          <w:lang w:eastAsia="en-US"/>
        </w:rPr>
        <w:t xml:space="preserve"> undertaking a short </w:t>
      </w:r>
      <w:r w:rsidRPr="002E64AA">
        <w:rPr>
          <w:rFonts w:ascii="Arial" w:eastAsiaTheme="minorHAnsi" w:hAnsi="Arial" w:cs="Arial"/>
          <w:lang w:eastAsia="en-US"/>
        </w:rPr>
        <w:t>attachment;</w:t>
      </w:r>
      <w:r w:rsidRPr="009C24EF">
        <w:rPr>
          <w:rFonts w:ascii="Arial" w:eastAsiaTheme="minorHAnsi" w:hAnsi="Arial" w:cs="Arial"/>
          <w:lang w:eastAsia="en-US"/>
        </w:rPr>
        <w:t xml:space="preserve"> and/or applying for </w:t>
      </w:r>
      <w:r w:rsidRPr="002E64AA">
        <w:rPr>
          <w:rFonts w:ascii="Arial" w:eastAsiaTheme="minorHAnsi" w:hAnsi="Arial" w:cs="Arial"/>
          <w:lang w:eastAsia="en-US"/>
        </w:rPr>
        <w:t>internal secondments</w:t>
      </w:r>
      <w:r w:rsidRPr="009C24EF">
        <w:rPr>
          <w:rFonts w:ascii="Arial" w:eastAsiaTheme="minorHAnsi" w:hAnsi="Arial" w:cs="Arial"/>
          <w:lang w:eastAsia="en-US"/>
        </w:rPr>
        <w:t>. It should also be noted that much of the preparation for </w:t>
      </w:r>
      <w:r w:rsidRPr="00D00D1C">
        <w:rPr>
          <w:rFonts w:ascii="Arial" w:eastAsiaTheme="minorHAnsi" w:hAnsi="Arial" w:cs="Arial"/>
          <w:lang w:eastAsia="en-US"/>
        </w:rPr>
        <w:t>career</w:t>
      </w:r>
      <w:r w:rsidRPr="009C24EF">
        <w:rPr>
          <w:rFonts w:ascii="Arial" w:eastAsiaTheme="minorHAnsi" w:hAnsi="Arial" w:cs="Arial"/>
          <w:lang w:eastAsia="en-US"/>
        </w:rPr>
        <w:t> advancement also comes from successful performance in the current job role.</w:t>
      </w:r>
    </w:p>
    <w:p w14:paraId="6E46C8EC" w14:textId="77777777" w:rsidR="00A91592" w:rsidRPr="009C24EF" w:rsidRDefault="00A91592" w:rsidP="006E6D1A">
      <w:pPr>
        <w:pStyle w:val="NormalWeb"/>
        <w:shd w:val="clear" w:color="auto" w:fill="FFFFFF"/>
        <w:spacing w:before="0" w:beforeAutospacing="0" w:after="180" w:afterAutospacing="0"/>
        <w:ind w:left="720" w:hanging="720"/>
        <w:jc w:val="both"/>
        <w:rPr>
          <w:rFonts w:ascii="Arial" w:eastAsiaTheme="minorHAnsi" w:hAnsi="Arial" w:cs="Arial"/>
          <w:lang w:eastAsia="en-US"/>
        </w:rPr>
      </w:pPr>
    </w:p>
    <w:p w14:paraId="6ABB5C65" w14:textId="77777777" w:rsidR="00A91592" w:rsidRPr="00A91592" w:rsidRDefault="00A91592" w:rsidP="006E6D1A">
      <w:pPr>
        <w:tabs>
          <w:tab w:val="left" w:pos="709"/>
        </w:tabs>
        <w:ind w:right="-618"/>
        <w:jc w:val="both"/>
        <w:rPr>
          <w:b/>
          <w:bCs/>
        </w:rPr>
      </w:pPr>
    </w:p>
    <w:p w14:paraId="34A9BF35" w14:textId="330081FB" w:rsidR="005043F9" w:rsidRDefault="00A91592" w:rsidP="006E6D1A">
      <w:pPr>
        <w:shd w:val="clear" w:color="auto" w:fill="FFFFFF"/>
        <w:spacing w:before="240" w:after="120" w:line="336" w:lineRule="auto"/>
        <w:ind w:left="705" w:hanging="705"/>
        <w:jc w:val="both"/>
        <w:rPr>
          <w:rFonts w:ascii="Arial" w:hAnsi="Arial" w:cs="Arial"/>
          <w:sz w:val="24"/>
          <w:szCs w:val="24"/>
        </w:rPr>
      </w:pPr>
      <w:r>
        <w:rPr>
          <w:rFonts w:ascii="Arial" w:hAnsi="Arial" w:cs="Arial"/>
          <w:sz w:val="24"/>
          <w:szCs w:val="24"/>
        </w:rPr>
        <w:t>1.3</w:t>
      </w:r>
      <w:r w:rsidR="00116127">
        <w:rPr>
          <w:rFonts w:ascii="Arial" w:hAnsi="Arial" w:cs="Arial"/>
          <w:sz w:val="24"/>
          <w:szCs w:val="24"/>
        </w:rPr>
        <w:tab/>
      </w:r>
      <w:r w:rsidR="00116127" w:rsidRPr="00025A44">
        <w:rPr>
          <w:rFonts w:ascii="Arial" w:hAnsi="Arial" w:cs="Arial"/>
          <w:sz w:val="24"/>
          <w:szCs w:val="24"/>
        </w:rPr>
        <w:t>This policy may be withdrawn or amended from time to t</w:t>
      </w:r>
      <w:r w:rsidR="00822360">
        <w:rPr>
          <w:rFonts w:ascii="Arial" w:hAnsi="Arial" w:cs="Arial"/>
          <w:sz w:val="24"/>
          <w:szCs w:val="24"/>
        </w:rPr>
        <w:t>ime at the c</w:t>
      </w:r>
      <w:r w:rsidR="00C946E2">
        <w:rPr>
          <w:rFonts w:ascii="Arial" w:hAnsi="Arial" w:cs="Arial"/>
          <w:sz w:val="24"/>
          <w:szCs w:val="24"/>
        </w:rPr>
        <w:t>ouncil’s</w:t>
      </w:r>
      <w:r w:rsidR="009E26A7">
        <w:rPr>
          <w:rFonts w:ascii="Arial" w:hAnsi="Arial" w:cs="Arial"/>
          <w:sz w:val="24"/>
          <w:szCs w:val="24"/>
        </w:rPr>
        <w:t xml:space="preserve"> </w:t>
      </w:r>
      <w:r w:rsidR="00274A62">
        <w:rPr>
          <w:rFonts w:ascii="Arial" w:hAnsi="Arial" w:cs="Arial"/>
          <w:sz w:val="24"/>
          <w:szCs w:val="24"/>
        </w:rPr>
        <w:t>discretion</w:t>
      </w:r>
      <w:r w:rsidR="00822360">
        <w:rPr>
          <w:rFonts w:ascii="Arial" w:hAnsi="Arial" w:cs="Arial"/>
          <w:sz w:val="24"/>
          <w:szCs w:val="24"/>
        </w:rPr>
        <w:t>.</w:t>
      </w:r>
    </w:p>
    <w:p w14:paraId="6864D32A" w14:textId="77777777" w:rsidR="00BD324B" w:rsidRPr="00BD324B" w:rsidRDefault="006F734C" w:rsidP="006E6D1A">
      <w:pPr>
        <w:pStyle w:val="Heading1"/>
        <w:spacing w:line="240" w:lineRule="auto"/>
        <w:jc w:val="both"/>
        <w:rPr>
          <w:rFonts w:ascii="Arial" w:hAnsi="Arial" w:cs="Arial"/>
          <w:bCs w:val="0"/>
          <w:color w:val="auto"/>
          <w:sz w:val="24"/>
          <w:szCs w:val="24"/>
        </w:rPr>
      </w:pPr>
      <w:bookmarkStart w:id="2" w:name="_Toc451245721"/>
      <w:r w:rsidRPr="00BD324B">
        <w:rPr>
          <w:rFonts w:ascii="Arial" w:hAnsi="Arial" w:cs="Arial"/>
          <w:bCs w:val="0"/>
          <w:color w:val="auto"/>
          <w:sz w:val="24"/>
          <w:szCs w:val="24"/>
        </w:rPr>
        <w:t>2.</w:t>
      </w:r>
      <w:r w:rsidRPr="00BD324B">
        <w:rPr>
          <w:rFonts w:ascii="Arial" w:hAnsi="Arial" w:cs="Arial"/>
          <w:bCs w:val="0"/>
          <w:color w:val="auto"/>
          <w:sz w:val="24"/>
          <w:szCs w:val="24"/>
        </w:rPr>
        <w:tab/>
        <w:t>Scope</w:t>
      </w:r>
      <w:bookmarkEnd w:id="2"/>
    </w:p>
    <w:p w14:paraId="16E6C856" w14:textId="13FC200C" w:rsidR="006F734C" w:rsidRPr="005043F9" w:rsidRDefault="006F734C" w:rsidP="006E6D1A">
      <w:pPr>
        <w:spacing w:line="240" w:lineRule="exact"/>
        <w:ind w:left="720"/>
        <w:jc w:val="both"/>
        <w:rPr>
          <w:rFonts w:ascii="Arial" w:hAnsi="Arial" w:cs="Arial"/>
          <w:b/>
          <w:sz w:val="24"/>
          <w:szCs w:val="24"/>
        </w:rPr>
      </w:pPr>
      <w:r w:rsidRPr="00BD324B">
        <w:rPr>
          <w:rFonts w:ascii="Arial" w:eastAsiaTheme="majorEastAsia" w:hAnsi="Arial" w:cs="Arial"/>
          <w:sz w:val="24"/>
          <w:szCs w:val="24"/>
        </w:rPr>
        <w:t xml:space="preserve">This policy applies to all internal secondments undertaken by </w:t>
      </w:r>
      <w:r w:rsidR="00822360" w:rsidRPr="00BD324B">
        <w:rPr>
          <w:rFonts w:ascii="Arial" w:eastAsiaTheme="majorEastAsia" w:hAnsi="Arial" w:cs="Arial"/>
          <w:sz w:val="24"/>
          <w:szCs w:val="24"/>
        </w:rPr>
        <w:t>the</w:t>
      </w:r>
      <w:r w:rsidRPr="00BD324B">
        <w:rPr>
          <w:rFonts w:ascii="Arial" w:eastAsiaTheme="majorEastAsia" w:hAnsi="Arial" w:cs="Arial"/>
          <w:sz w:val="24"/>
          <w:szCs w:val="24"/>
        </w:rPr>
        <w:t xml:space="preserve"> </w:t>
      </w:r>
      <w:r w:rsidR="00822360" w:rsidRPr="00BD324B">
        <w:rPr>
          <w:rFonts w:ascii="Arial" w:eastAsiaTheme="majorEastAsia" w:hAnsi="Arial" w:cs="Arial"/>
          <w:sz w:val="24"/>
          <w:szCs w:val="24"/>
        </w:rPr>
        <w:t>c</w:t>
      </w:r>
      <w:r w:rsidRPr="00BD324B">
        <w:rPr>
          <w:rFonts w:ascii="Arial" w:eastAsiaTheme="majorEastAsia" w:hAnsi="Arial" w:cs="Arial"/>
          <w:sz w:val="24"/>
          <w:szCs w:val="24"/>
        </w:rPr>
        <w:t>ouncil</w:t>
      </w:r>
      <w:r w:rsidRPr="005043F9">
        <w:rPr>
          <w:rFonts w:ascii="Arial" w:eastAsiaTheme="majorEastAsia" w:hAnsi="Arial" w:cs="Arial"/>
          <w:sz w:val="24"/>
          <w:szCs w:val="24"/>
        </w:rPr>
        <w:t xml:space="preserve"> employees</w:t>
      </w:r>
      <w:r w:rsidR="00D75C55">
        <w:rPr>
          <w:rFonts w:ascii="Arial" w:eastAsiaTheme="majorEastAsia" w:hAnsi="Arial" w:cs="Arial"/>
          <w:b/>
          <w:bCs/>
          <w:sz w:val="24"/>
          <w:szCs w:val="24"/>
        </w:rPr>
        <w:t xml:space="preserve"> e</w:t>
      </w:r>
      <w:r w:rsidRPr="005043F9">
        <w:rPr>
          <w:rFonts w:ascii="Arial" w:eastAsiaTheme="majorEastAsia" w:hAnsi="Arial" w:cs="Arial"/>
          <w:b/>
          <w:bCs/>
          <w:sz w:val="24"/>
          <w:szCs w:val="24"/>
        </w:rPr>
        <w:t>xcept those employees appointed in schools who have their own policies and procedures as adopted by the Governing Body.</w:t>
      </w:r>
    </w:p>
    <w:p w14:paraId="497EC0BA" w14:textId="1670E3A5" w:rsidR="00D00D1C" w:rsidRPr="00D00D1C" w:rsidRDefault="009C24EF" w:rsidP="006E6D1A">
      <w:pPr>
        <w:pStyle w:val="Heading1"/>
        <w:jc w:val="both"/>
        <w:rPr>
          <w:rFonts w:ascii="Arial" w:hAnsi="Arial" w:cs="Arial"/>
          <w:color w:val="auto"/>
          <w:sz w:val="24"/>
          <w:szCs w:val="24"/>
        </w:rPr>
      </w:pPr>
      <w:r>
        <w:rPr>
          <w:rFonts w:ascii="Arial" w:hAnsi="Arial" w:cs="Arial"/>
          <w:color w:val="auto"/>
          <w:sz w:val="24"/>
          <w:szCs w:val="24"/>
        </w:rPr>
        <w:t xml:space="preserve"> </w:t>
      </w:r>
      <w:bookmarkStart w:id="3" w:name="_Toc451245722"/>
      <w:r w:rsidR="00A91592">
        <w:rPr>
          <w:rFonts w:ascii="Arial" w:hAnsi="Arial" w:cs="Arial"/>
          <w:color w:val="auto"/>
          <w:sz w:val="24"/>
          <w:szCs w:val="24"/>
        </w:rPr>
        <w:t>3</w:t>
      </w:r>
      <w:r w:rsidR="00D00D1C" w:rsidRPr="00D00D1C">
        <w:rPr>
          <w:rFonts w:ascii="Arial" w:hAnsi="Arial" w:cs="Arial"/>
          <w:color w:val="auto"/>
          <w:sz w:val="24"/>
          <w:szCs w:val="24"/>
        </w:rPr>
        <w:t>.</w:t>
      </w:r>
      <w:r w:rsidR="00D00D1C" w:rsidRPr="00D00D1C">
        <w:rPr>
          <w:rFonts w:ascii="Arial" w:hAnsi="Arial" w:cs="Arial"/>
          <w:color w:val="auto"/>
          <w:sz w:val="24"/>
          <w:szCs w:val="24"/>
        </w:rPr>
        <w:tab/>
      </w:r>
      <w:r w:rsidR="00D00D1C" w:rsidRPr="00274A62">
        <w:rPr>
          <w:rFonts w:ascii="Arial" w:hAnsi="Arial" w:cs="Arial"/>
          <w:color w:val="auto"/>
          <w:sz w:val="24"/>
          <w:szCs w:val="24"/>
        </w:rPr>
        <w:t>Definitions</w:t>
      </w:r>
      <w:r w:rsidR="00D00D1C">
        <w:rPr>
          <w:rFonts w:ascii="Arial" w:hAnsi="Arial" w:cs="Arial"/>
          <w:color w:val="auto"/>
          <w:sz w:val="24"/>
          <w:szCs w:val="24"/>
        </w:rPr>
        <w:t xml:space="preserve"> of terminology</w:t>
      </w:r>
      <w:bookmarkEnd w:id="3"/>
    </w:p>
    <w:p w14:paraId="1DBC9CEE" w14:textId="471F863B" w:rsidR="00D00D1C" w:rsidRDefault="00D00D1C" w:rsidP="006E6D1A">
      <w:pPr>
        <w:tabs>
          <w:tab w:val="left" w:pos="709"/>
        </w:tabs>
        <w:ind w:left="705" w:right="-618" w:hanging="705"/>
        <w:jc w:val="both"/>
      </w:pPr>
      <w:r>
        <w:rPr>
          <w:rFonts w:ascii="Arial" w:hAnsi="Arial" w:cs="Arial"/>
          <w:sz w:val="24"/>
          <w:szCs w:val="24"/>
        </w:rPr>
        <w:t>4.1</w:t>
      </w:r>
      <w:r>
        <w:rPr>
          <w:rFonts w:ascii="Arial" w:hAnsi="Arial" w:cs="Arial"/>
          <w:b/>
          <w:i/>
          <w:sz w:val="24"/>
          <w:szCs w:val="24"/>
        </w:rPr>
        <w:tab/>
      </w:r>
      <w:r w:rsidR="00F71487">
        <w:rPr>
          <w:rFonts w:ascii="Arial" w:hAnsi="Arial" w:cs="Arial"/>
          <w:b/>
          <w:i/>
          <w:sz w:val="24"/>
          <w:szCs w:val="24"/>
        </w:rPr>
        <w:t>‘</w:t>
      </w:r>
      <w:r w:rsidRPr="005A0D70">
        <w:rPr>
          <w:rFonts w:ascii="Arial" w:hAnsi="Arial" w:cs="Arial"/>
          <w:b/>
          <w:i/>
          <w:sz w:val="24"/>
          <w:szCs w:val="24"/>
        </w:rPr>
        <w:t>Acting up</w:t>
      </w:r>
      <w:r>
        <w:rPr>
          <w:rFonts w:ascii="Arial" w:hAnsi="Arial" w:cs="Arial"/>
          <w:sz w:val="24"/>
          <w:szCs w:val="24"/>
        </w:rPr>
        <w:t xml:space="preserve">’ </w:t>
      </w:r>
      <w:r w:rsidR="002E64AA">
        <w:rPr>
          <w:rFonts w:ascii="Arial" w:hAnsi="Arial" w:cs="Arial"/>
          <w:sz w:val="24"/>
          <w:szCs w:val="24"/>
        </w:rPr>
        <w:t xml:space="preserve">will be for a short period (up to 6 months) with </w:t>
      </w:r>
      <w:r>
        <w:rPr>
          <w:rFonts w:ascii="Arial" w:hAnsi="Arial" w:cs="Arial"/>
          <w:sz w:val="24"/>
          <w:szCs w:val="24"/>
        </w:rPr>
        <w:t>additional duties at a higher grade</w:t>
      </w:r>
      <w:r w:rsidRPr="006F734C">
        <w:rPr>
          <w:rFonts w:ascii="Arial" w:hAnsi="Arial" w:cs="Arial"/>
          <w:sz w:val="24"/>
          <w:szCs w:val="24"/>
        </w:rPr>
        <w:t>.</w:t>
      </w:r>
      <w:r>
        <w:rPr>
          <w:rFonts w:ascii="Arial" w:hAnsi="Arial" w:cs="Arial"/>
          <w:sz w:val="24"/>
          <w:szCs w:val="24"/>
        </w:rPr>
        <w:t xml:space="preserve"> Unlike secondments and attachments, which may be filled by any employee in the council, ‘acting up’ arrangements are usually kept within the immediate team’s management structure.</w:t>
      </w:r>
      <w:r w:rsidRPr="006F734C">
        <w:rPr>
          <w:rFonts w:ascii="Arial" w:hAnsi="Arial" w:cs="Arial"/>
          <w:sz w:val="24"/>
          <w:szCs w:val="24"/>
        </w:rPr>
        <w:t xml:space="preserve"> </w:t>
      </w:r>
      <w:r>
        <w:rPr>
          <w:rFonts w:ascii="Arial" w:hAnsi="Arial" w:cs="Arial"/>
          <w:sz w:val="24"/>
          <w:szCs w:val="24"/>
        </w:rPr>
        <w:t>These arrangements are defined</w:t>
      </w:r>
      <w:r w:rsidRPr="006F734C">
        <w:rPr>
          <w:rFonts w:ascii="Arial" w:hAnsi="Arial" w:cs="Arial"/>
          <w:sz w:val="24"/>
          <w:szCs w:val="24"/>
        </w:rPr>
        <w:t xml:space="preserve"> in the ‘Rewarding Additional Duties’ Policy.</w:t>
      </w:r>
      <w:r>
        <w:t xml:space="preserve">  </w:t>
      </w:r>
    </w:p>
    <w:p w14:paraId="45CCCA15" w14:textId="7470B3E8" w:rsidR="00F71487" w:rsidRDefault="00D00D1C" w:rsidP="006E6D1A">
      <w:pPr>
        <w:tabs>
          <w:tab w:val="left" w:pos="709"/>
        </w:tabs>
        <w:ind w:left="705" w:right="-618" w:hanging="705"/>
        <w:jc w:val="both"/>
        <w:rPr>
          <w:rFonts w:ascii="Arial" w:hAnsi="Arial" w:cs="Arial"/>
          <w:sz w:val="24"/>
          <w:szCs w:val="24"/>
        </w:rPr>
      </w:pPr>
      <w:r>
        <w:rPr>
          <w:rFonts w:ascii="Arial" w:hAnsi="Arial" w:cs="Arial"/>
          <w:sz w:val="24"/>
          <w:szCs w:val="24"/>
        </w:rPr>
        <w:t>4.2</w:t>
      </w:r>
      <w:r>
        <w:rPr>
          <w:rFonts w:ascii="Arial" w:hAnsi="Arial" w:cs="Arial"/>
          <w:sz w:val="24"/>
          <w:szCs w:val="24"/>
        </w:rPr>
        <w:tab/>
        <w:t>Duties undertaken on an ‘acting up’</w:t>
      </w:r>
      <w:r w:rsidRPr="006F734C">
        <w:rPr>
          <w:rFonts w:ascii="Arial" w:hAnsi="Arial" w:cs="Arial"/>
          <w:sz w:val="24"/>
          <w:szCs w:val="24"/>
        </w:rPr>
        <w:t xml:space="preserve"> basis will be r</w:t>
      </w:r>
      <w:r>
        <w:rPr>
          <w:rFonts w:ascii="Arial" w:hAnsi="Arial" w:cs="Arial"/>
          <w:sz w:val="24"/>
          <w:szCs w:val="24"/>
        </w:rPr>
        <w:t xml:space="preserve">ewarded in accordance with the </w:t>
      </w:r>
      <w:r w:rsidRPr="006F734C">
        <w:rPr>
          <w:rFonts w:ascii="Arial" w:hAnsi="Arial" w:cs="Arial"/>
          <w:sz w:val="24"/>
          <w:szCs w:val="24"/>
        </w:rPr>
        <w:t>Rewa</w:t>
      </w:r>
      <w:r>
        <w:rPr>
          <w:rFonts w:ascii="Arial" w:hAnsi="Arial" w:cs="Arial"/>
          <w:sz w:val="24"/>
          <w:szCs w:val="24"/>
        </w:rPr>
        <w:t xml:space="preserve">rding Additional Duties Policy </w:t>
      </w:r>
      <w:r w:rsidR="002E64AA">
        <w:rPr>
          <w:rFonts w:ascii="Arial" w:hAnsi="Arial" w:cs="Arial"/>
          <w:sz w:val="24"/>
          <w:szCs w:val="24"/>
        </w:rPr>
        <w:t>which recognises the extra work the employee is undertaking.</w:t>
      </w:r>
    </w:p>
    <w:p w14:paraId="5C71709A" w14:textId="7D62E35A" w:rsidR="00F71487" w:rsidRDefault="00F71487" w:rsidP="006E6D1A">
      <w:pPr>
        <w:tabs>
          <w:tab w:val="left" w:pos="709"/>
        </w:tabs>
        <w:ind w:left="705" w:right="-618" w:hanging="705"/>
        <w:jc w:val="both"/>
        <w:rPr>
          <w:rFonts w:ascii="Arial" w:hAnsi="Arial" w:cs="Arial"/>
          <w:sz w:val="24"/>
          <w:szCs w:val="24"/>
        </w:rPr>
      </w:pPr>
      <w:r>
        <w:rPr>
          <w:rFonts w:ascii="Arial" w:hAnsi="Arial" w:cs="Arial"/>
          <w:sz w:val="24"/>
          <w:szCs w:val="24"/>
        </w:rPr>
        <w:t>4.3</w:t>
      </w:r>
      <w:r>
        <w:rPr>
          <w:rFonts w:ascii="Arial" w:hAnsi="Arial" w:cs="Arial"/>
          <w:sz w:val="24"/>
          <w:szCs w:val="24"/>
        </w:rPr>
        <w:tab/>
      </w:r>
      <w:r w:rsidRPr="00F71487">
        <w:rPr>
          <w:rFonts w:ascii="Arial" w:hAnsi="Arial" w:cs="Arial"/>
          <w:b/>
          <w:i/>
          <w:sz w:val="24"/>
          <w:szCs w:val="24"/>
        </w:rPr>
        <w:t>Work Shadowing</w:t>
      </w:r>
      <w:r>
        <w:rPr>
          <w:rFonts w:ascii="Arial" w:hAnsi="Arial" w:cs="Arial"/>
          <w:b/>
          <w:i/>
          <w:sz w:val="24"/>
          <w:szCs w:val="24"/>
        </w:rPr>
        <w:t xml:space="preserve"> </w:t>
      </w:r>
      <w:r>
        <w:rPr>
          <w:rFonts w:ascii="Arial" w:hAnsi="Arial" w:cs="Arial"/>
          <w:sz w:val="24"/>
          <w:szCs w:val="24"/>
        </w:rPr>
        <w:t>defines a short term arrangement</w:t>
      </w:r>
      <w:r w:rsidR="00D10315">
        <w:rPr>
          <w:rFonts w:ascii="Arial" w:hAnsi="Arial" w:cs="Arial"/>
          <w:sz w:val="24"/>
          <w:szCs w:val="24"/>
        </w:rPr>
        <w:t xml:space="preserve"> (up to 4 weeks)</w:t>
      </w:r>
      <w:r w:rsidR="00824A59">
        <w:rPr>
          <w:rFonts w:ascii="Arial" w:hAnsi="Arial" w:cs="Arial"/>
          <w:sz w:val="24"/>
          <w:szCs w:val="24"/>
        </w:rPr>
        <w:t xml:space="preserve"> which involves an</w:t>
      </w:r>
      <w:r>
        <w:rPr>
          <w:rFonts w:ascii="Arial" w:hAnsi="Arial" w:cs="Arial"/>
          <w:sz w:val="24"/>
          <w:szCs w:val="24"/>
        </w:rPr>
        <w:t xml:space="preserve"> individual observing the work undertaken by another employee but does</w:t>
      </w:r>
      <w:r w:rsidR="00970676">
        <w:rPr>
          <w:rFonts w:ascii="Arial" w:hAnsi="Arial" w:cs="Arial"/>
          <w:sz w:val="24"/>
          <w:szCs w:val="24"/>
        </w:rPr>
        <w:t xml:space="preserve"> not perform the work </w:t>
      </w:r>
      <w:r w:rsidR="006C04CD">
        <w:rPr>
          <w:rFonts w:ascii="Arial" w:hAnsi="Arial" w:cs="Arial"/>
          <w:sz w:val="24"/>
          <w:szCs w:val="24"/>
        </w:rPr>
        <w:t>personally</w:t>
      </w:r>
      <w:r>
        <w:rPr>
          <w:rFonts w:ascii="Arial" w:hAnsi="Arial" w:cs="Arial"/>
          <w:sz w:val="24"/>
          <w:szCs w:val="24"/>
        </w:rPr>
        <w:t xml:space="preserve"> unless it is for illustrative or learning purposes. </w:t>
      </w:r>
      <w:r>
        <w:rPr>
          <w:rStyle w:val="apple-converted-space"/>
          <w:rFonts w:ascii="Arial" w:hAnsi="Arial" w:cs="Arial"/>
          <w:color w:val="4D4D4D"/>
          <w:sz w:val="21"/>
          <w:szCs w:val="21"/>
          <w:shd w:val="clear" w:color="auto" w:fill="FFFFFF"/>
        </w:rPr>
        <w:t> </w:t>
      </w:r>
      <w:r w:rsidR="00AB032E" w:rsidRPr="00FA63F9">
        <w:rPr>
          <w:rStyle w:val="apple-converted-space"/>
          <w:rFonts w:ascii="Arial" w:hAnsi="Arial" w:cs="Arial"/>
          <w:sz w:val="24"/>
          <w:szCs w:val="24"/>
          <w:shd w:val="clear" w:color="auto" w:fill="FFFFFF"/>
        </w:rPr>
        <w:t>The arrangement may be intermittent rather than continuous and</w:t>
      </w:r>
      <w:r w:rsidR="00AB032E" w:rsidRPr="00FA63F9">
        <w:rPr>
          <w:rStyle w:val="apple-converted-space"/>
          <w:rFonts w:ascii="Arial" w:hAnsi="Arial" w:cs="Arial"/>
          <w:sz w:val="21"/>
          <w:szCs w:val="21"/>
          <w:shd w:val="clear" w:color="auto" w:fill="FFFFFF"/>
        </w:rPr>
        <w:t xml:space="preserve"> </w:t>
      </w:r>
      <w:r w:rsidRPr="008E2954">
        <w:rPr>
          <w:rFonts w:ascii="Arial" w:hAnsi="Arial" w:cs="Arial"/>
          <w:sz w:val="24"/>
          <w:szCs w:val="24"/>
        </w:rPr>
        <w:t xml:space="preserve">may be linked to a specific development scheme that the employee is </w:t>
      </w:r>
      <w:r w:rsidR="00970676">
        <w:rPr>
          <w:rFonts w:ascii="Arial" w:hAnsi="Arial" w:cs="Arial"/>
          <w:sz w:val="24"/>
          <w:szCs w:val="24"/>
        </w:rPr>
        <w:t>undertaking (</w:t>
      </w:r>
      <w:r w:rsidRPr="008E2954">
        <w:rPr>
          <w:rFonts w:ascii="Arial" w:hAnsi="Arial" w:cs="Arial"/>
          <w:sz w:val="24"/>
          <w:szCs w:val="24"/>
        </w:rPr>
        <w:t>e.g</w:t>
      </w:r>
      <w:r w:rsidR="00F34973" w:rsidRPr="008E2954">
        <w:rPr>
          <w:rFonts w:ascii="Arial" w:hAnsi="Arial" w:cs="Arial"/>
          <w:sz w:val="24"/>
          <w:szCs w:val="24"/>
        </w:rPr>
        <w:t>.</w:t>
      </w:r>
      <w:r w:rsidRPr="008E2954">
        <w:rPr>
          <w:rFonts w:ascii="Arial" w:hAnsi="Arial" w:cs="Arial"/>
          <w:sz w:val="24"/>
          <w:szCs w:val="24"/>
        </w:rPr>
        <w:t xml:space="preserve"> Women’s or BAME Leadership scheme)</w:t>
      </w:r>
      <w:r w:rsidR="00970676">
        <w:rPr>
          <w:rFonts w:ascii="Arial" w:hAnsi="Arial" w:cs="Arial"/>
          <w:sz w:val="24"/>
          <w:szCs w:val="24"/>
        </w:rPr>
        <w:t xml:space="preserve"> or to a personal development objective linked to ‘Our Appraisal’.</w:t>
      </w:r>
    </w:p>
    <w:p w14:paraId="11525966" w14:textId="38DE55AB" w:rsidR="00970676" w:rsidRDefault="00970676" w:rsidP="006E6D1A">
      <w:pPr>
        <w:tabs>
          <w:tab w:val="left" w:pos="709"/>
        </w:tabs>
        <w:ind w:left="705" w:right="-618" w:hanging="705"/>
        <w:jc w:val="both"/>
        <w:rPr>
          <w:rStyle w:val="apple-converted-space"/>
          <w:rFonts w:ascii="Arial" w:hAnsi="Arial" w:cs="Arial"/>
          <w:color w:val="4D4D4D"/>
          <w:sz w:val="24"/>
          <w:szCs w:val="24"/>
          <w:shd w:val="clear" w:color="auto" w:fill="FFFFFF"/>
        </w:rPr>
      </w:pPr>
      <w:r>
        <w:rPr>
          <w:rFonts w:ascii="Arial" w:hAnsi="Arial" w:cs="Arial"/>
          <w:sz w:val="24"/>
          <w:szCs w:val="24"/>
        </w:rPr>
        <w:tab/>
      </w:r>
      <w:r w:rsidRPr="008E2954">
        <w:rPr>
          <w:rFonts w:ascii="Arial" w:hAnsi="Arial" w:cs="Arial"/>
          <w:sz w:val="24"/>
          <w:szCs w:val="24"/>
        </w:rPr>
        <w:t xml:space="preserve">Further details on Work Shadowing can be found in the </w:t>
      </w:r>
      <w:r w:rsidRPr="00F810E7">
        <w:rPr>
          <w:rFonts w:ascii="Arial" w:hAnsi="Arial" w:cs="Arial"/>
          <w:b/>
          <w:i/>
          <w:sz w:val="24"/>
          <w:szCs w:val="24"/>
        </w:rPr>
        <w:t>Our Appraisal guidance</w:t>
      </w:r>
      <w:r w:rsidRPr="002E4A23">
        <w:rPr>
          <w:rFonts w:ascii="Arial" w:hAnsi="Arial" w:cs="Arial"/>
          <w:b/>
          <w:i/>
          <w:sz w:val="24"/>
          <w:szCs w:val="24"/>
        </w:rPr>
        <w:t>: Appendix</w:t>
      </w:r>
      <w:r>
        <w:rPr>
          <w:rFonts w:ascii="Arial" w:hAnsi="Arial" w:cs="Arial"/>
          <w:b/>
          <w:i/>
          <w:sz w:val="24"/>
          <w:szCs w:val="24"/>
        </w:rPr>
        <w:t>.</w:t>
      </w:r>
    </w:p>
    <w:p w14:paraId="73F64108" w14:textId="77777777" w:rsidR="00970676" w:rsidRDefault="00F71487" w:rsidP="006E6D1A">
      <w:pPr>
        <w:tabs>
          <w:tab w:val="left" w:pos="709"/>
        </w:tabs>
        <w:ind w:left="705" w:right="-618" w:hanging="705"/>
        <w:jc w:val="both"/>
        <w:rPr>
          <w:rFonts w:ascii="Arial" w:hAnsi="Arial" w:cs="Arial"/>
          <w:sz w:val="24"/>
          <w:szCs w:val="24"/>
        </w:rPr>
      </w:pPr>
      <w:r>
        <w:rPr>
          <w:rFonts w:ascii="Arial" w:hAnsi="Arial" w:cs="Arial"/>
          <w:sz w:val="24"/>
          <w:szCs w:val="24"/>
        </w:rPr>
        <w:t>4.4</w:t>
      </w:r>
      <w:r>
        <w:rPr>
          <w:rFonts w:ascii="Arial" w:hAnsi="Arial" w:cs="Arial"/>
          <w:sz w:val="24"/>
          <w:szCs w:val="24"/>
        </w:rPr>
        <w:tab/>
        <w:t xml:space="preserve">An </w:t>
      </w:r>
      <w:r>
        <w:rPr>
          <w:rFonts w:ascii="Arial" w:hAnsi="Arial" w:cs="Arial"/>
          <w:b/>
          <w:i/>
          <w:sz w:val="24"/>
          <w:szCs w:val="24"/>
        </w:rPr>
        <w:t xml:space="preserve">Attachment </w:t>
      </w:r>
      <w:r>
        <w:rPr>
          <w:rFonts w:ascii="Arial" w:hAnsi="Arial" w:cs="Arial"/>
          <w:sz w:val="24"/>
          <w:szCs w:val="24"/>
        </w:rPr>
        <w:t>defines a short term temporary move, (typica</w:t>
      </w:r>
      <w:r w:rsidR="00D10315">
        <w:rPr>
          <w:rFonts w:ascii="Arial" w:hAnsi="Arial" w:cs="Arial"/>
          <w:sz w:val="24"/>
          <w:szCs w:val="24"/>
        </w:rPr>
        <w:t>lly) starting from a period of 4</w:t>
      </w:r>
      <w:r>
        <w:rPr>
          <w:rFonts w:ascii="Arial" w:hAnsi="Arial" w:cs="Arial"/>
          <w:sz w:val="24"/>
          <w:szCs w:val="24"/>
        </w:rPr>
        <w:t xml:space="preserve"> weeks up to </w:t>
      </w:r>
      <w:r w:rsidR="00D10315">
        <w:rPr>
          <w:rFonts w:ascii="Arial" w:hAnsi="Arial" w:cs="Arial"/>
          <w:sz w:val="24"/>
          <w:szCs w:val="24"/>
        </w:rPr>
        <w:t xml:space="preserve">3 </w:t>
      </w:r>
      <w:r>
        <w:rPr>
          <w:rFonts w:ascii="Arial" w:hAnsi="Arial" w:cs="Arial"/>
          <w:sz w:val="24"/>
          <w:szCs w:val="24"/>
        </w:rPr>
        <w:t xml:space="preserve">months. The aim of </w:t>
      </w:r>
      <w:r w:rsidR="00970676">
        <w:rPr>
          <w:rFonts w:ascii="Arial" w:hAnsi="Arial" w:cs="Arial"/>
          <w:sz w:val="24"/>
          <w:szCs w:val="24"/>
        </w:rPr>
        <w:t xml:space="preserve">the attachment </w:t>
      </w:r>
      <w:r>
        <w:rPr>
          <w:rFonts w:ascii="Arial" w:hAnsi="Arial" w:cs="Arial"/>
          <w:sz w:val="24"/>
          <w:szCs w:val="24"/>
        </w:rPr>
        <w:t>is to contribute to short-te</w:t>
      </w:r>
      <w:r w:rsidR="00970676">
        <w:rPr>
          <w:rFonts w:ascii="Arial" w:hAnsi="Arial" w:cs="Arial"/>
          <w:sz w:val="24"/>
          <w:szCs w:val="24"/>
        </w:rPr>
        <w:t>rm project work and assignments.</w:t>
      </w:r>
      <w:r>
        <w:rPr>
          <w:rFonts w:ascii="Arial" w:hAnsi="Arial" w:cs="Arial"/>
          <w:sz w:val="24"/>
          <w:szCs w:val="24"/>
        </w:rPr>
        <w:t xml:space="preserve">  </w:t>
      </w:r>
      <w:r w:rsidR="00F810E7">
        <w:rPr>
          <w:rFonts w:ascii="Arial" w:hAnsi="Arial" w:cs="Arial"/>
          <w:sz w:val="24"/>
          <w:szCs w:val="24"/>
        </w:rPr>
        <w:t>A</w:t>
      </w:r>
      <w:r w:rsidR="00970676">
        <w:rPr>
          <w:rFonts w:ascii="Arial" w:hAnsi="Arial" w:cs="Arial"/>
          <w:sz w:val="24"/>
          <w:szCs w:val="24"/>
        </w:rPr>
        <w:t xml:space="preserve">ttachments are </w:t>
      </w:r>
      <w:r>
        <w:rPr>
          <w:rFonts w:ascii="Arial" w:hAnsi="Arial" w:cs="Arial"/>
          <w:sz w:val="24"/>
          <w:szCs w:val="24"/>
        </w:rPr>
        <w:t xml:space="preserve">a developmental </w:t>
      </w:r>
      <w:r w:rsidR="00F810E7">
        <w:rPr>
          <w:rFonts w:ascii="Arial" w:hAnsi="Arial" w:cs="Arial"/>
          <w:sz w:val="24"/>
          <w:szCs w:val="24"/>
        </w:rPr>
        <w:t xml:space="preserve">opportunity for the post-holder, and like Work Shadowing may be linked to a </w:t>
      </w:r>
      <w:r w:rsidR="00970676">
        <w:rPr>
          <w:rFonts w:ascii="Arial" w:hAnsi="Arial" w:cs="Arial"/>
          <w:sz w:val="24"/>
          <w:szCs w:val="24"/>
        </w:rPr>
        <w:t xml:space="preserve">specific </w:t>
      </w:r>
      <w:r w:rsidR="00F810E7">
        <w:rPr>
          <w:rFonts w:ascii="Arial" w:hAnsi="Arial" w:cs="Arial"/>
          <w:sz w:val="24"/>
          <w:szCs w:val="24"/>
        </w:rPr>
        <w:t>developmental scheme</w:t>
      </w:r>
      <w:r w:rsidR="00970676">
        <w:rPr>
          <w:rFonts w:ascii="Arial" w:hAnsi="Arial" w:cs="Arial"/>
          <w:sz w:val="24"/>
          <w:szCs w:val="24"/>
        </w:rPr>
        <w:t xml:space="preserve"> or a personal developmental objective linked to ‘Our Appraisal’.</w:t>
      </w:r>
      <w:r w:rsidR="00F810E7">
        <w:rPr>
          <w:rFonts w:ascii="Arial" w:hAnsi="Arial" w:cs="Arial"/>
          <w:sz w:val="24"/>
          <w:szCs w:val="24"/>
        </w:rPr>
        <w:t xml:space="preserve">    </w:t>
      </w:r>
    </w:p>
    <w:p w14:paraId="73F87565" w14:textId="44895437" w:rsidR="00D00D1C" w:rsidRPr="002E4A23" w:rsidRDefault="00970676" w:rsidP="006E6D1A">
      <w:pPr>
        <w:tabs>
          <w:tab w:val="left" w:pos="709"/>
        </w:tabs>
        <w:ind w:left="705" w:right="-618" w:hanging="705"/>
        <w:jc w:val="both"/>
        <w:rPr>
          <w:rFonts w:ascii="Arial" w:hAnsi="Arial" w:cs="Arial"/>
          <w:b/>
          <w:i/>
          <w:sz w:val="24"/>
          <w:szCs w:val="24"/>
        </w:rPr>
      </w:pPr>
      <w:r>
        <w:rPr>
          <w:rFonts w:ascii="Arial" w:hAnsi="Arial" w:cs="Arial"/>
          <w:sz w:val="24"/>
          <w:szCs w:val="24"/>
        </w:rPr>
        <w:tab/>
      </w:r>
      <w:r w:rsidR="00F810E7" w:rsidRPr="008E2954">
        <w:rPr>
          <w:rFonts w:ascii="Arial" w:hAnsi="Arial" w:cs="Arial"/>
          <w:sz w:val="24"/>
          <w:szCs w:val="24"/>
        </w:rPr>
        <w:t xml:space="preserve">Further details on Attachments can be found in the </w:t>
      </w:r>
      <w:r w:rsidR="00F810E7" w:rsidRPr="00F810E7">
        <w:rPr>
          <w:rFonts w:ascii="Arial" w:hAnsi="Arial" w:cs="Arial"/>
          <w:b/>
          <w:i/>
          <w:sz w:val="24"/>
          <w:szCs w:val="24"/>
        </w:rPr>
        <w:t>Our Appraisal guidance</w:t>
      </w:r>
      <w:r w:rsidR="002E4A23" w:rsidRPr="002E4A23">
        <w:rPr>
          <w:rFonts w:ascii="Arial" w:hAnsi="Arial" w:cs="Arial"/>
          <w:b/>
          <w:i/>
          <w:sz w:val="24"/>
          <w:szCs w:val="24"/>
        </w:rPr>
        <w:t>: Appendix</w:t>
      </w:r>
      <w:r w:rsidR="002E4A23">
        <w:rPr>
          <w:rFonts w:ascii="Arial" w:hAnsi="Arial" w:cs="Arial"/>
          <w:b/>
          <w:i/>
          <w:sz w:val="24"/>
          <w:szCs w:val="24"/>
        </w:rPr>
        <w:t>.</w:t>
      </w:r>
    </w:p>
    <w:p w14:paraId="2658DCFA" w14:textId="2B870A16" w:rsidR="00D10315" w:rsidRDefault="00F810E7" w:rsidP="006E6D1A">
      <w:pPr>
        <w:tabs>
          <w:tab w:val="left" w:pos="709"/>
        </w:tabs>
        <w:ind w:left="705" w:right="-618" w:hanging="705"/>
        <w:jc w:val="both"/>
        <w:rPr>
          <w:rFonts w:ascii="Arial" w:hAnsi="Arial" w:cs="Arial"/>
          <w:sz w:val="24"/>
          <w:szCs w:val="24"/>
        </w:rPr>
      </w:pPr>
      <w:r>
        <w:rPr>
          <w:rFonts w:ascii="Arial" w:hAnsi="Arial" w:cs="Arial"/>
          <w:sz w:val="24"/>
          <w:szCs w:val="24"/>
        </w:rPr>
        <w:t>4.5</w:t>
      </w:r>
      <w:r w:rsidR="00D00D1C">
        <w:rPr>
          <w:rFonts w:ascii="Arial" w:hAnsi="Arial" w:cs="Arial"/>
          <w:sz w:val="24"/>
          <w:szCs w:val="24"/>
        </w:rPr>
        <w:tab/>
      </w:r>
      <w:r w:rsidR="006842B0" w:rsidRPr="006842B0">
        <w:rPr>
          <w:rFonts w:ascii="Arial" w:hAnsi="Arial" w:cs="Arial"/>
          <w:sz w:val="24"/>
          <w:szCs w:val="24"/>
        </w:rPr>
        <w:t xml:space="preserve">A </w:t>
      </w:r>
      <w:r w:rsidR="006842B0" w:rsidRPr="00C946E2">
        <w:rPr>
          <w:rFonts w:ascii="Arial" w:hAnsi="Arial" w:cs="Arial"/>
          <w:b/>
          <w:i/>
          <w:sz w:val="24"/>
          <w:szCs w:val="24"/>
        </w:rPr>
        <w:t>Secondment</w:t>
      </w:r>
      <w:r w:rsidR="006842B0" w:rsidRPr="006842B0">
        <w:rPr>
          <w:rFonts w:ascii="Arial" w:hAnsi="Arial" w:cs="Arial"/>
          <w:sz w:val="24"/>
          <w:szCs w:val="24"/>
        </w:rPr>
        <w:t xml:space="preserve"> is defined as a temporary move by an employee to another</w:t>
      </w:r>
      <w:r w:rsidR="00C946E2">
        <w:rPr>
          <w:rFonts w:ascii="Arial" w:hAnsi="Arial" w:cs="Arial"/>
          <w:sz w:val="24"/>
          <w:szCs w:val="24"/>
        </w:rPr>
        <w:t xml:space="preserve"> established</w:t>
      </w:r>
      <w:r w:rsidR="009C24EF">
        <w:rPr>
          <w:rFonts w:ascii="Arial" w:hAnsi="Arial" w:cs="Arial"/>
          <w:sz w:val="24"/>
          <w:szCs w:val="24"/>
        </w:rPr>
        <w:t xml:space="preserve"> or supernumer</w:t>
      </w:r>
      <w:r w:rsidR="00970676">
        <w:rPr>
          <w:rFonts w:ascii="Arial" w:hAnsi="Arial" w:cs="Arial"/>
          <w:sz w:val="24"/>
          <w:szCs w:val="24"/>
        </w:rPr>
        <w:t>ar</w:t>
      </w:r>
      <w:r w:rsidR="009C24EF">
        <w:rPr>
          <w:rFonts w:ascii="Arial" w:hAnsi="Arial" w:cs="Arial"/>
          <w:sz w:val="24"/>
          <w:szCs w:val="24"/>
        </w:rPr>
        <w:t>y</w:t>
      </w:r>
      <w:r w:rsidR="006842B0" w:rsidRPr="006842B0">
        <w:rPr>
          <w:rFonts w:ascii="Arial" w:hAnsi="Arial" w:cs="Arial"/>
          <w:sz w:val="24"/>
          <w:szCs w:val="24"/>
        </w:rPr>
        <w:t xml:space="preserve"> role within the council for </w:t>
      </w:r>
      <w:r w:rsidR="00D10315">
        <w:rPr>
          <w:rFonts w:ascii="Arial" w:hAnsi="Arial" w:cs="Arial"/>
          <w:sz w:val="24"/>
          <w:szCs w:val="24"/>
        </w:rPr>
        <w:t>a period of at least 3</w:t>
      </w:r>
      <w:r w:rsidR="00C946E2">
        <w:rPr>
          <w:rFonts w:ascii="Arial" w:hAnsi="Arial" w:cs="Arial"/>
          <w:sz w:val="24"/>
          <w:szCs w:val="24"/>
        </w:rPr>
        <w:t xml:space="preserve"> months</w:t>
      </w:r>
      <w:r w:rsidR="009C24EF">
        <w:rPr>
          <w:rFonts w:ascii="Arial" w:hAnsi="Arial" w:cs="Arial"/>
          <w:sz w:val="24"/>
          <w:szCs w:val="24"/>
        </w:rPr>
        <w:t xml:space="preserve"> </w:t>
      </w:r>
      <w:r w:rsidR="009C24EF">
        <w:rPr>
          <w:rFonts w:ascii="Arial" w:hAnsi="Arial" w:cs="Arial"/>
          <w:sz w:val="24"/>
          <w:szCs w:val="24"/>
        </w:rPr>
        <w:lastRenderedPageBreak/>
        <w:t xml:space="preserve">and </w:t>
      </w:r>
      <w:r w:rsidR="004930A1">
        <w:rPr>
          <w:rFonts w:ascii="Arial" w:hAnsi="Arial" w:cs="Arial"/>
          <w:sz w:val="24"/>
          <w:szCs w:val="24"/>
        </w:rPr>
        <w:t xml:space="preserve">normally </w:t>
      </w:r>
      <w:r w:rsidR="00D10315">
        <w:rPr>
          <w:rFonts w:ascii="Arial" w:hAnsi="Arial" w:cs="Arial"/>
          <w:sz w:val="24"/>
          <w:szCs w:val="24"/>
        </w:rPr>
        <w:t>up to a maximum of 12</w:t>
      </w:r>
      <w:r w:rsidR="006842B0" w:rsidRPr="006842B0">
        <w:rPr>
          <w:rFonts w:ascii="Arial" w:hAnsi="Arial" w:cs="Arial"/>
          <w:sz w:val="24"/>
          <w:szCs w:val="24"/>
        </w:rPr>
        <w:t xml:space="preserve"> mon</w:t>
      </w:r>
      <w:r w:rsidR="006842B0">
        <w:rPr>
          <w:rFonts w:ascii="Arial" w:hAnsi="Arial" w:cs="Arial"/>
          <w:sz w:val="24"/>
          <w:szCs w:val="24"/>
        </w:rPr>
        <w:t>ths (including any extensions)</w:t>
      </w:r>
      <w:r w:rsidR="00C946E2">
        <w:rPr>
          <w:rFonts w:ascii="Arial" w:hAnsi="Arial" w:cs="Arial"/>
          <w:sz w:val="24"/>
          <w:szCs w:val="24"/>
        </w:rPr>
        <w:t xml:space="preserve">. </w:t>
      </w:r>
      <w:r w:rsidR="001870DD">
        <w:rPr>
          <w:rFonts w:ascii="Arial" w:hAnsi="Arial" w:cs="Arial"/>
          <w:sz w:val="24"/>
          <w:szCs w:val="24"/>
        </w:rPr>
        <w:t xml:space="preserve"> In some</w:t>
      </w:r>
      <w:r w:rsidR="009E26A7">
        <w:rPr>
          <w:rFonts w:ascii="Arial" w:hAnsi="Arial" w:cs="Arial"/>
          <w:sz w:val="24"/>
          <w:szCs w:val="24"/>
        </w:rPr>
        <w:t xml:space="preserve"> circumstances, secondment</w:t>
      </w:r>
      <w:r w:rsidR="00FE607F">
        <w:rPr>
          <w:rFonts w:ascii="Arial" w:hAnsi="Arial" w:cs="Arial"/>
          <w:sz w:val="24"/>
          <w:szCs w:val="24"/>
        </w:rPr>
        <w:t>s may</w:t>
      </w:r>
      <w:r w:rsidR="001870DD">
        <w:rPr>
          <w:rFonts w:ascii="Arial" w:hAnsi="Arial" w:cs="Arial"/>
          <w:sz w:val="24"/>
          <w:szCs w:val="24"/>
        </w:rPr>
        <w:t xml:space="preserve"> be advertised and allowed to </w:t>
      </w:r>
      <w:r w:rsidR="00FE607F">
        <w:rPr>
          <w:rFonts w:ascii="Arial" w:hAnsi="Arial" w:cs="Arial"/>
          <w:sz w:val="24"/>
          <w:szCs w:val="24"/>
        </w:rPr>
        <w:t xml:space="preserve"> continue beyond 12 months </w:t>
      </w:r>
      <w:r w:rsidR="00FE607F" w:rsidRPr="00822360">
        <w:rPr>
          <w:rFonts w:ascii="Arial" w:hAnsi="Arial" w:cs="Arial"/>
          <w:sz w:val="24"/>
          <w:szCs w:val="24"/>
        </w:rPr>
        <w:t xml:space="preserve">but </w:t>
      </w:r>
      <w:r w:rsidR="00CA70AA" w:rsidRPr="00822360">
        <w:rPr>
          <w:rFonts w:ascii="Arial" w:hAnsi="Arial" w:cs="Arial"/>
          <w:sz w:val="24"/>
          <w:szCs w:val="24"/>
        </w:rPr>
        <w:t xml:space="preserve">the circumstances and length </w:t>
      </w:r>
      <w:r w:rsidR="00FE607F" w:rsidRPr="00822360">
        <w:rPr>
          <w:rFonts w:ascii="Arial" w:hAnsi="Arial" w:cs="Arial"/>
          <w:sz w:val="24"/>
          <w:szCs w:val="24"/>
        </w:rPr>
        <w:t xml:space="preserve">will need to </w:t>
      </w:r>
      <w:r w:rsidR="00CA70AA" w:rsidRPr="00822360">
        <w:rPr>
          <w:rFonts w:ascii="Arial" w:hAnsi="Arial" w:cs="Arial"/>
          <w:sz w:val="24"/>
          <w:szCs w:val="24"/>
        </w:rPr>
        <w:t xml:space="preserve">be discussed and </w:t>
      </w:r>
      <w:r w:rsidR="009C24EF">
        <w:rPr>
          <w:rFonts w:ascii="Arial" w:hAnsi="Arial" w:cs="Arial"/>
          <w:sz w:val="24"/>
          <w:szCs w:val="24"/>
        </w:rPr>
        <w:t>agreed with the HR team</w:t>
      </w:r>
      <w:r w:rsidR="00FE607F" w:rsidRPr="00822360">
        <w:rPr>
          <w:rFonts w:ascii="Arial" w:hAnsi="Arial" w:cs="Arial"/>
          <w:sz w:val="24"/>
          <w:szCs w:val="24"/>
        </w:rPr>
        <w:t>.</w:t>
      </w:r>
    </w:p>
    <w:p w14:paraId="53DA0028" w14:textId="77777777" w:rsidR="00970676" w:rsidRDefault="00D10315" w:rsidP="006E6D1A">
      <w:pPr>
        <w:tabs>
          <w:tab w:val="left" w:pos="709"/>
        </w:tabs>
        <w:ind w:left="705" w:right="-618" w:hanging="705"/>
        <w:jc w:val="both"/>
        <w:rPr>
          <w:rFonts w:ascii="Arial" w:hAnsi="Arial" w:cs="Arial"/>
          <w:sz w:val="24"/>
          <w:szCs w:val="24"/>
        </w:rPr>
      </w:pPr>
      <w:r>
        <w:rPr>
          <w:rFonts w:ascii="Arial" w:hAnsi="Arial" w:cs="Arial"/>
          <w:sz w:val="24"/>
          <w:szCs w:val="24"/>
        </w:rPr>
        <w:tab/>
      </w:r>
      <w:r w:rsidR="009E26A7">
        <w:rPr>
          <w:rFonts w:ascii="Arial" w:hAnsi="Arial" w:cs="Arial"/>
          <w:sz w:val="24"/>
          <w:szCs w:val="24"/>
        </w:rPr>
        <w:t>S</w:t>
      </w:r>
      <w:r w:rsidR="00F810E7">
        <w:rPr>
          <w:rFonts w:ascii="Arial" w:hAnsi="Arial" w:cs="Arial"/>
          <w:sz w:val="24"/>
          <w:szCs w:val="24"/>
        </w:rPr>
        <w:t xml:space="preserve">econdment duties will be assessed (which may include job evaluation) so </w:t>
      </w:r>
      <w:r w:rsidR="00970676">
        <w:rPr>
          <w:rFonts w:ascii="Arial" w:hAnsi="Arial" w:cs="Arial"/>
          <w:sz w:val="24"/>
          <w:szCs w:val="24"/>
        </w:rPr>
        <w:t>employees undertaking them are remunerated at the appropriate level.</w:t>
      </w:r>
    </w:p>
    <w:p w14:paraId="682F061D" w14:textId="606222A7" w:rsidR="00E64852" w:rsidRDefault="00970676" w:rsidP="006E6D1A">
      <w:pPr>
        <w:tabs>
          <w:tab w:val="left" w:pos="709"/>
        </w:tabs>
        <w:ind w:left="705" w:right="-618" w:hanging="705"/>
        <w:jc w:val="both"/>
        <w:rPr>
          <w:rFonts w:ascii="Arial" w:hAnsi="Arial" w:cs="Arial"/>
          <w:sz w:val="24"/>
          <w:szCs w:val="24"/>
        </w:rPr>
      </w:pPr>
      <w:r>
        <w:rPr>
          <w:rFonts w:ascii="Arial" w:hAnsi="Arial" w:cs="Arial"/>
          <w:sz w:val="24"/>
          <w:szCs w:val="24"/>
        </w:rPr>
        <w:tab/>
        <w:t xml:space="preserve">Secondments will also be internally </w:t>
      </w:r>
      <w:r w:rsidR="009E26A7">
        <w:rPr>
          <w:rFonts w:ascii="Arial" w:hAnsi="Arial" w:cs="Arial"/>
          <w:sz w:val="24"/>
          <w:szCs w:val="24"/>
        </w:rPr>
        <w:t xml:space="preserve">advertised </w:t>
      </w:r>
      <w:r w:rsidR="00F810E7">
        <w:rPr>
          <w:rFonts w:ascii="Arial" w:hAnsi="Arial" w:cs="Arial"/>
          <w:sz w:val="24"/>
          <w:szCs w:val="24"/>
        </w:rPr>
        <w:t>across the council.</w:t>
      </w:r>
    </w:p>
    <w:p w14:paraId="0D045122" w14:textId="5A98DBCD" w:rsidR="00C946E2" w:rsidRDefault="00D10315" w:rsidP="006E6D1A">
      <w:pPr>
        <w:tabs>
          <w:tab w:val="left" w:pos="709"/>
        </w:tabs>
        <w:ind w:left="705" w:right="-618" w:hanging="705"/>
        <w:jc w:val="both"/>
        <w:rPr>
          <w:rFonts w:ascii="Arial" w:hAnsi="Arial" w:cs="Arial"/>
          <w:sz w:val="24"/>
          <w:szCs w:val="24"/>
        </w:rPr>
      </w:pPr>
      <w:r>
        <w:rPr>
          <w:rFonts w:ascii="Arial" w:hAnsi="Arial" w:cs="Arial"/>
          <w:sz w:val="24"/>
          <w:szCs w:val="24"/>
        </w:rPr>
        <w:t>4.6</w:t>
      </w:r>
      <w:r w:rsidR="009E26A7">
        <w:rPr>
          <w:rFonts w:ascii="Arial" w:hAnsi="Arial" w:cs="Arial"/>
          <w:sz w:val="24"/>
          <w:szCs w:val="24"/>
        </w:rPr>
        <w:t>.</w:t>
      </w:r>
      <w:r w:rsidR="009E26A7">
        <w:rPr>
          <w:rFonts w:ascii="Arial" w:hAnsi="Arial" w:cs="Arial"/>
          <w:sz w:val="24"/>
          <w:szCs w:val="24"/>
        </w:rPr>
        <w:tab/>
      </w:r>
      <w:r w:rsidR="00C946E2" w:rsidRPr="00C946E2">
        <w:rPr>
          <w:rFonts w:ascii="Arial" w:hAnsi="Arial" w:cs="Arial"/>
          <w:sz w:val="24"/>
          <w:szCs w:val="24"/>
        </w:rPr>
        <w:t xml:space="preserve"> </w:t>
      </w:r>
      <w:r w:rsidR="00C946E2">
        <w:rPr>
          <w:rFonts w:ascii="Arial" w:hAnsi="Arial" w:cs="Arial"/>
          <w:sz w:val="24"/>
          <w:szCs w:val="24"/>
        </w:rPr>
        <w:t>For the purpose of this policy the seconded</w:t>
      </w:r>
      <w:r w:rsidR="009E26A7">
        <w:rPr>
          <w:rFonts w:ascii="Arial" w:hAnsi="Arial" w:cs="Arial"/>
          <w:sz w:val="24"/>
          <w:szCs w:val="24"/>
        </w:rPr>
        <w:t xml:space="preserve"> </w:t>
      </w:r>
      <w:r w:rsidR="00C946E2">
        <w:rPr>
          <w:rFonts w:ascii="Arial" w:hAnsi="Arial" w:cs="Arial"/>
          <w:sz w:val="24"/>
          <w:szCs w:val="24"/>
        </w:rPr>
        <w:t>employee</w:t>
      </w:r>
      <w:r w:rsidR="009E26A7">
        <w:rPr>
          <w:rFonts w:ascii="Arial" w:hAnsi="Arial" w:cs="Arial"/>
          <w:sz w:val="24"/>
          <w:szCs w:val="24"/>
        </w:rPr>
        <w:t xml:space="preserve"> </w:t>
      </w:r>
      <w:r w:rsidR="00C946E2">
        <w:rPr>
          <w:rFonts w:ascii="Arial" w:hAnsi="Arial" w:cs="Arial"/>
          <w:sz w:val="24"/>
          <w:szCs w:val="24"/>
        </w:rPr>
        <w:t>will be known as a ‘secondee’.</w:t>
      </w:r>
    </w:p>
    <w:p w14:paraId="7CC598DD" w14:textId="0F12550F" w:rsidR="005172A2" w:rsidRPr="001870DD" w:rsidRDefault="00E64852" w:rsidP="001870DD">
      <w:pPr>
        <w:pStyle w:val="Heading1"/>
        <w:jc w:val="both"/>
        <w:rPr>
          <w:rFonts w:ascii="Arial" w:hAnsi="Arial" w:cs="Arial"/>
          <w:color w:val="auto"/>
          <w:sz w:val="24"/>
          <w:szCs w:val="24"/>
        </w:rPr>
      </w:pPr>
      <w:bookmarkStart w:id="4" w:name="_Toc451245723"/>
      <w:r w:rsidRPr="00E64852">
        <w:rPr>
          <w:rFonts w:ascii="Arial" w:hAnsi="Arial" w:cs="Arial"/>
          <w:color w:val="auto"/>
          <w:sz w:val="24"/>
          <w:szCs w:val="24"/>
        </w:rPr>
        <w:t>4.</w:t>
      </w:r>
      <w:r w:rsidRPr="00E64852">
        <w:rPr>
          <w:rFonts w:ascii="Arial" w:hAnsi="Arial" w:cs="Arial"/>
          <w:color w:val="auto"/>
          <w:sz w:val="24"/>
          <w:szCs w:val="24"/>
        </w:rPr>
        <w:tab/>
        <w:t>Applicatio</w:t>
      </w:r>
      <w:bookmarkEnd w:id="4"/>
      <w:r w:rsidR="001870DD">
        <w:rPr>
          <w:rFonts w:ascii="Arial" w:hAnsi="Arial" w:cs="Arial"/>
          <w:color w:val="auto"/>
          <w:sz w:val="24"/>
          <w:szCs w:val="24"/>
        </w:rPr>
        <w:t>n</w:t>
      </w:r>
    </w:p>
    <w:p w14:paraId="5A57D482" w14:textId="53BE0E09" w:rsidR="00E64852" w:rsidRPr="00025A44" w:rsidRDefault="00A1662B" w:rsidP="006E6D1A">
      <w:pPr>
        <w:tabs>
          <w:tab w:val="left" w:pos="709"/>
        </w:tabs>
        <w:ind w:left="705" w:right="-618" w:hanging="705"/>
        <w:jc w:val="both"/>
        <w:rPr>
          <w:rFonts w:ascii="Arial" w:hAnsi="Arial" w:cs="Arial"/>
          <w:sz w:val="24"/>
          <w:szCs w:val="24"/>
        </w:rPr>
      </w:pPr>
      <w:r>
        <w:rPr>
          <w:rFonts w:ascii="Arial" w:hAnsi="Arial" w:cs="Arial"/>
          <w:sz w:val="24"/>
          <w:szCs w:val="24"/>
        </w:rPr>
        <w:t>4.</w:t>
      </w:r>
      <w:r w:rsidR="001870DD">
        <w:rPr>
          <w:rFonts w:ascii="Arial" w:hAnsi="Arial" w:cs="Arial"/>
          <w:sz w:val="24"/>
          <w:szCs w:val="24"/>
        </w:rPr>
        <w:t>1</w:t>
      </w:r>
      <w:r w:rsidR="00FF5CDD">
        <w:rPr>
          <w:rFonts w:ascii="Arial" w:hAnsi="Arial" w:cs="Arial"/>
          <w:sz w:val="24"/>
          <w:szCs w:val="24"/>
        </w:rPr>
        <w:tab/>
        <w:t xml:space="preserve">Employees are not eligible to </w:t>
      </w:r>
      <w:r w:rsidR="00E64852">
        <w:rPr>
          <w:rFonts w:ascii="Arial" w:hAnsi="Arial" w:cs="Arial"/>
          <w:sz w:val="24"/>
          <w:szCs w:val="24"/>
        </w:rPr>
        <w:t>apply for</w:t>
      </w:r>
      <w:r w:rsidR="009E26A7">
        <w:rPr>
          <w:rFonts w:ascii="Arial" w:hAnsi="Arial" w:cs="Arial"/>
          <w:sz w:val="24"/>
          <w:szCs w:val="24"/>
        </w:rPr>
        <w:t xml:space="preserve"> </w:t>
      </w:r>
      <w:r w:rsidR="00E64852">
        <w:rPr>
          <w:rFonts w:ascii="Arial" w:hAnsi="Arial" w:cs="Arial"/>
          <w:sz w:val="24"/>
          <w:szCs w:val="24"/>
        </w:rPr>
        <w:t xml:space="preserve">secondments </w:t>
      </w:r>
      <w:r w:rsidR="00FF5CDD">
        <w:rPr>
          <w:rFonts w:ascii="Arial" w:hAnsi="Arial" w:cs="Arial"/>
          <w:sz w:val="24"/>
          <w:szCs w:val="24"/>
        </w:rPr>
        <w:t>if the</w:t>
      </w:r>
      <w:r w:rsidR="00F34973">
        <w:rPr>
          <w:rFonts w:ascii="Arial" w:hAnsi="Arial" w:cs="Arial"/>
          <w:sz w:val="24"/>
          <w:szCs w:val="24"/>
        </w:rPr>
        <w:t xml:space="preserve">y </w:t>
      </w:r>
      <w:r w:rsidR="00FA63F9">
        <w:rPr>
          <w:rFonts w:ascii="Arial" w:hAnsi="Arial" w:cs="Arial"/>
          <w:sz w:val="24"/>
          <w:szCs w:val="24"/>
        </w:rPr>
        <w:t>h</w:t>
      </w:r>
      <w:r w:rsidR="00E64852">
        <w:rPr>
          <w:rFonts w:ascii="Arial" w:hAnsi="Arial" w:cs="Arial"/>
          <w:sz w:val="24"/>
          <w:szCs w:val="24"/>
        </w:rPr>
        <w:t>ave a formal un</w:t>
      </w:r>
      <w:r w:rsidR="00F34973">
        <w:rPr>
          <w:rFonts w:ascii="Arial" w:hAnsi="Arial" w:cs="Arial"/>
          <w:sz w:val="24"/>
          <w:szCs w:val="24"/>
        </w:rPr>
        <w:t>-</w:t>
      </w:r>
      <w:r w:rsidR="00E64852">
        <w:rPr>
          <w:rFonts w:ascii="Arial" w:hAnsi="Arial" w:cs="Arial"/>
          <w:sz w:val="24"/>
          <w:szCs w:val="24"/>
        </w:rPr>
        <w:t>expired warning on their</w:t>
      </w:r>
      <w:r w:rsidR="00FA63F9">
        <w:rPr>
          <w:rFonts w:ascii="Arial" w:hAnsi="Arial" w:cs="Arial"/>
          <w:sz w:val="24"/>
          <w:szCs w:val="24"/>
        </w:rPr>
        <w:t xml:space="preserve"> disciplinary</w:t>
      </w:r>
      <w:r w:rsidR="00E64852">
        <w:rPr>
          <w:rFonts w:ascii="Arial" w:hAnsi="Arial" w:cs="Arial"/>
          <w:sz w:val="24"/>
          <w:szCs w:val="24"/>
        </w:rPr>
        <w:t xml:space="preserve"> record.</w:t>
      </w:r>
      <w:r w:rsidR="00FF5CDD">
        <w:rPr>
          <w:rFonts w:ascii="Arial" w:hAnsi="Arial" w:cs="Arial"/>
          <w:sz w:val="24"/>
          <w:szCs w:val="24"/>
        </w:rPr>
        <w:tab/>
      </w:r>
    </w:p>
    <w:p w14:paraId="46AD8B30" w14:textId="24BA698F" w:rsidR="00274A62" w:rsidRPr="00274A62" w:rsidRDefault="00E64852" w:rsidP="006E6D1A">
      <w:pPr>
        <w:pStyle w:val="Heading1"/>
        <w:jc w:val="both"/>
        <w:rPr>
          <w:rFonts w:ascii="Arial" w:hAnsi="Arial" w:cs="Arial"/>
          <w:color w:val="auto"/>
          <w:sz w:val="24"/>
          <w:szCs w:val="24"/>
        </w:rPr>
      </w:pPr>
      <w:bookmarkStart w:id="5" w:name="_Toc451245724"/>
      <w:r>
        <w:rPr>
          <w:rFonts w:ascii="Arial" w:hAnsi="Arial" w:cs="Arial"/>
          <w:color w:val="auto"/>
          <w:sz w:val="24"/>
          <w:szCs w:val="24"/>
        </w:rPr>
        <w:t>5</w:t>
      </w:r>
      <w:r w:rsidR="006842B0" w:rsidRPr="00274A62">
        <w:rPr>
          <w:rFonts w:ascii="Arial" w:hAnsi="Arial" w:cs="Arial"/>
          <w:color w:val="auto"/>
          <w:sz w:val="24"/>
          <w:szCs w:val="24"/>
        </w:rPr>
        <w:t>.</w:t>
      </w:r>
      <w:r w:rsidR="00116127" w:rsidRPr="00274A62">
        <w:rPr>
          <w:rFonts w:ascii="Arial" w:hAnsi="Arial" w:cs="Arial"/>
          <w:color w:val="auto"/>
          <w:sz w:val="24"/>
          <w:szCs w:val="24"/>
        </w:rPr>
        <w:tab/>
        <w:t>Provisions</w:t>
      </w:r>
      <w:bookmarkEnd w:id="5"/>
    </w:p>
    <w:p w14:paraId="7AB5DB09" w14:textId="172196F2" w:rsidR="00346DD8" w:rsidRDefault="00E64852" w:rsidP="00346DD8">
      <w:pPr>
        <w:tabs>
          <w:tab w:val="left" w:pos="709"/>
        </w:tabs>
        <w:ind w:left="705" w:right="-618" w:hanging="705"/>
        <w:jc w:val="both"/>
        <w:rPr>
          <w:rFonts w:ascii="Arial" w:hAnsi="Arial" w:cs="Arial"/>
          <w:sz w:val="24"/>
          <w:szCs w:val="24"/>
        </w:rPr>
      </w:pPr>
      <w:r>
        <w:rPr>
          <w:rFonts w:ascii="Arial" w:hAnsi="Arial" w:cs="Arial"/>
          <w:sz w:val="24"/>
          <w:szCs w:val="24"/>
        </w:rPr>
        <w:t>5</w:t>
      </w:r>
      <w:r w:rsidR="00116127" w:rsidRPr="00116127">
        <w:rPr>
          <w:rFonts w:ascii="Arial" w:hAnsi="Arial" w:cs="Arial"/>
          <w:sz w:val="24"/>
          <w:szCs w:val="24"/>
        </w:rPr>
        <w:t>.1</w:t>
      </w:r>
      <w:r w:rsidR="00116127" w:rsidRPr="00116127">
        <w:rPr>
          <w:rFonts w:ascii="Arial" w:hAnsi="Arial" w:cs="Arial"/>
          <w:sz w:val="24"/>
          <w:szCs w:val="24"/>
        </w:rPr>
        <w:tab/>
      </w:r>
      <w:r w:rsidR="00346DD8">
        <w:rPr>
          <w:rFonts w:ascii="Arial" w:hAnsi="Arial" w:cs="Arial"/>
          <w:sz w:val="24"/>
          <w:szCs w:val="24"/>
        </w:rPr>
        <w:t>Employees are advised to discuss their intentions regarding accepting secondment opportunities as early as possible with their line management.</w:t>
      </w:r>
    </w:p>
    <w:p w14:paraId="0C909C81" w14:textId="0F512F29" w:rsidR="00FA581C" w:rsidRDefault="00346DD8" w:rsidP="00346DD8">
      <w:pPr>
        <w:tabs>
          <w:tab w:val="left" w:pos="709"/>
        </w:tabs>
        <w:ind w:left="705" w:right="-618" w:hanging="705"/>
        <w:jc w:val="both"/>
        <w:rPr>
          <w:rFonts w:ascii="Arial" w:hAnsi="Arial" w:cs="Arial"/>
          <w:sz w:val="24"/>
          <w:szCs w:val="24"/>
        </w:rPr>
      </w:pPr>
      <w:r>
        <w:rPr>
          <w:rFonts w:ascii="Arial" w:hAnsi="Arial" w:cs="Arial"/>
          <w:sz w:val="24"/>
          <w:szCs w:val="24"/>
        </w:rPr>
        <w:t>5.2</w:t>
      </w:r>
      <w:r>
        <w:rPr>
          <w:rFonts w:ascii="Arial" w:hAnsi="Arial" w:cs="Arial"/>
          <w:sz w:val="24"/>
          <w:szCs w:val="24"/>
        </w:rPr>
        <w:tab/>
      </w:r>
      <w:r w:rsidR="001819F7">
        <w:rPr>
          <w:rFonts w:ascii="Arial" w:hAnsi="Arial" w:cs="Arial"/>
          <w:sz w:val="24"/>
          <w:szCs w:val="24"/>
        </w:rPr>
        <w:t>A</w:t>
      </w:r>
      <w:r w:rsidR="009E26A7">
        <w:rPr>
          <w:rFonts w:ascii="Arial" w:hAnsi="Arial" w:cs="Arial"/>
          <w:sz w:val="24"/>
          <w:szCs w:val="24"/>
        </w:rPr>
        <w:t xml:space="preserve"> </w:t>
      </w:r>
      <w:r w:rsidR="00D10D4E" w:rsidRPr="00116127">
        <w:rPr>
          <w:rFonts w:ascii="Arial" w:hAnsi="Arial" w:cs="Arial"/>
          <w:sz w:val="24"/>
          <w:szCs w:val="24"/>
        </w:rPr>
        <w:t xml:space="preserve">secondment agreement </w:t>
      </w:r>
      <w:r w:rsidR="00116127" w:rsidRPr="00116127">
        <w:rPr>
          <w:rFonts w:ascii="Arial" w:hAnsi="Arial" w:cs="Arial"/>
          <w:sz w:val="24"/>
          <w:szCs w:val="24"/>
        </w:rPr>
        <w:t xml:space="preserve">must </w:t>
      </w:r>
      <w:r w:rsidR="00D10D4E" w:rsidRPr="00116127">
        <w:rPr>
          <w:rFonts w:ascii="Arial" w:hAnsi="Arial" w:cs="Arial"/>
          <w:sz w:val="24"/>
          <w:szCs w:val="24"/>
        </w:rPr>
        <w:t>be in place to confirm the pl</w:t>
      </w:r>
      <w:r w:rsidR="00116127" w:rsidRPr="00116127">
        <w:rPr>
          <w:rFonts w:ascii="Arial" w:hAnsi="Arial" w:cs="Arial"/>
          <w:sz w:val="24"/>
          <w:szCs w:val="24"/>
        </w:rPr>
        <w:t>acement of the employee into a</w:t>
      </w:r>
      <w:r w:rsidR="00D10D4E" w:rsidRPr="00116127">
        <w:rPr>
          <w:rFonts w:ascii="Arial" w:hAnsi="Arial" w:cs="Arial"/>
          <w:sz w:val="24"/>
          <w:szCs w:val="24"/>
        </w:rPr>
        <w:t xml:space="preserve"> role </w:t>
      </w:r>
      <w:r w:rsidR="00467F15">
        <w:rPr>
          <w:rFonts w:ascii="Arial" w:hAnsi="Arial" w:cs="Arial"/>
          <w:sz w:val="24"/>
          <w:szCs w:val="24"/>
        </w:rPr>
        <w:t>and the length of the placement</w:t>
      </w:r>
      <w:r w:rsidR="00D10D4E" w:rsidRPr="00116127">
        <w:rPr>
          <w:rFonts w:ascii="Arial" w:hAnsi="Arial" w:cs="Arial"/>
          <w:sz w:val="24"/>
          <w:szCs w:val="24"/>
        </w:rPr>
        <w:t xml:space="preserve">.  </w:t>
      </w:r>
    </w:p>
    <w:p w14:paraId="349209A5" w14:textId="333DFD1A" w:rsidR="00331BBF" w:rsidRDefault="00AC4E21" w:rsidP="006E6D1A">
      <w:pPr>
        <w:tabs>
          <w:tab w:val="left" w:pos="709"/>
        </w:tabs>
        <w:ind w:left="705" w:right="-618" w:hanging="705"/>
        <w:jc w:val="both"/>
        <w:rPr>
          <w:rFonts w:ascii="Arial" w:hAnsi="Arial" w:cs="Arial"/>
          <w:sz w:val="24"/>
          <w:szCs w:val="24"/>
        </w:rPr>
      </w:pPr>
      <w:r>
        <w:rPr>
          <w:rFonts w:ascii="Arial" w:hAnsi="Arial" w:cs="Arial"/>
          <w:sz w:val="24"/>
          <w:szCs w:val="24"/>
        </w:rPr>
        <w:t>5.3</w:t>
      </w:r>
      <w:r w:rsidR="00331BBF">
        <w:rPr>
          <w:rFonts w:ascii="Arial" w:hAnsi="Arial" w:cs="Arial"/>
          <w:sz w:val="24"/>
          <w:szCs w:val="24"/>
        </w:rPr>
        <w:tab/>
        <w:t xml:space="preserve">The salary costs for employees on </w:t>
      </w:r>
      <w:r w:rsidR="00D10315">
        <w:rPr>
          <w:rFonts w:ascii="Arial" w:hAnsi="Arial" w:cs="Arial"/>
          <w:sz w:val="24"/>
          <w:szCs w:val="24"/>
        </w:rPr>
        <w:t>secondments will</w:t>
      </w:r>
      <w:r w:rsidR="00970676">
        <w:rPr>
          <w:rFonts w:ascii="Arial" w:hAnsi="Arial" w:cs="Arial"/>
          <w:sz w:val="24"/>
          <w:szCs w:val="24"/>
        </w:rPr>
        <w:t xml:space="preserve"> be met by the recipient team</w:t>
      </w:r>
      <w:r w:rsidR="001819F7">
        <w:rPr>
          <w:rFonts w:ascii="Arial" w:hAnsi="Arial" w:cs="Arial"/>
          <w:sz w:val="24"/>
          <w:szCs w:val="24"/>
        </w:rPr>
        <w:t>.</w:t>
      </w:r>
    </w:p>
    <w:p w14:paraId="16DA21B3" w14:textId="2A783E2F" w:rsidR="00B72D9B" w:rsidRDefault="00450655" w:rsidP="006E6D1A">
      <w:pPr>
        <w:tabs>
          <w:tab w:val="left" w:pos="709"/>
        </w:tabs>
        <w:ind w:left="705" w:right="-618" w:hanging="705"/>
        <w:jc w:val="both"/>
        <w:rPr>
          <w:rFonts w:ascii="Arial" w:hAnsi="Arial" w:cs="Arial"/>
          <w:sz w:val="24"/>
          <w:szCs w:val="24"/>
        </w:rPr>
      </w:pPr>
      <w:r>
        <w:rPr>
          <w:rFonts w:ascii="Arial" w:hAnsi="Arial" w:cs="Arial"/>
          <w:sz w:val="24"/>
          <w:szCs w:val="24"/>
        </w:rPr>
        <w:t>5.</w:t>
      </w:r>
      <w:r w:rsidR="00AC4E21">
        <w:rPr>
          <w:rFonts w:ascii="Arial" w:hAnsi="Arial" w:cs="Arial"/>
          <w:sz w:val="24"/>
          <w:szCs w:val="24"/>
        </w:rPr>
        <w:t>4</w:t>
      </w:r>
      <w:r w:rsidR="00FA581C" w:rsidRPr="00450655">
        <w:rPr>
          <w:rFonts w:ascii="Arial" w:hAnsi="Arial" w:cs="Arial"/>
          <w:sz w:val="24"/>
          <w:szCs w:val="24"/>
        </w:rPr>
        <w:tab/>
        <w:t xml:space="preserve">Internal references will not </w:t>
      </w:r>
      <w:r w:rsidR="005172A2">
        <w:rPr>
          <w:rFonts w:ascii="Arial" w:hAnsi="Arial" w:cs="Arial"/>
          <w:sz w:val="24"/>
          <w:szCs w:val="24"/>
        </w:rPr>
        <w:t xml:space="preserve">normally </w:t>
      </w:r>
      <w:r w:rsidR="00FA581C" w:rsidRPr="00450655">
        <w:rPr>
          <w:rFonts w:ascii="Arial" w:hAnsi="Arial" w:cs="Arial"/>
          <w:sz w:val="24"/>
          <w:szCs w:val="24"/>
        </w:rPr>
        <w:t>be requested for</w:t>
      </w:r>
      <w:r w:rsidR="00467F15" w:rsidRPr="00450655">
        <w:rPr>
          <w:rFonts w:ascii="Arial" w:hAnsi="Arial" w:cs="Arial"/>
          <w:sz w:val="24"/>
          <w:szCs w:val="24"/>
        </w:rPr>
        <w:t xml:space="preserve"> </w:t>
      </w:r>
      <w:r w:rsidR="00FA581C" w:rsidRPr="00450655">
        <w:rPr>
          <w:rFonts w:ascii="Arial" w:hAnsi="Arial" w:cs="Arial"/>
          <w:sz w:val="24"/>
          <w:szCs w:val="24"/>
        </w:rPr>
        <w:t>secondment applications</w:t>
      </w:r>
    </w:p>
    <w:p w14:paraId="6473E101" w14:textId="40AD9B84" w:rsidR="00D10D4E" w:rsidRDefault="00E64852" w:rsidP="006E6D1A">
      <w:pPr>
        <w:tabs>
          <w:tab w:val="left" w:pos="709"/>
        </w:tabs>
        <w:ind w:left="705" w:right="-618" w:hanging="705"/>
        <w:jc w:val="both"/>
        <w:rPr>
          <w:rFonts w:ascii="Arial" w:hAnsi="Arial" w:cs="Arial"/>
          <w:sz w:val="24"/>
          <w:szCs w:val="24"/>
        </w:rPr>
      </w:pPr>
      <w:r>
        <w:rPr>
          <w:rFonts w:ascii="Arial" w:hAnsi="Arial" w:cs="Arial"/>
          <w:sz w:val="24"/>
          <w:szCs w:val="24"/>
        </w:rPr>
        <w:t>5</w:t>
      </w:r>
      <w:r w:rsidR="00AC4E21">
        <w:rPr>
          <w:rFonts w:ascii="Arial" w:hAnsi="Arial" w:cs="Arial"/>
          <w:sz w:val="24"/>
          <w:szCs w:val="24"/>
        </w:rPr>
        <w:t>.5</w:t>
      </w:r>
      <w:r w:rsidR="00116127">
        <w:rPr>
          <w:rFonts w:ascii="Arial" w:hAnsi="Arial" w:cs="Arial"/>
          <w:sz w:val="24"/>
          <w:szCs w:val="24"/>
        </w:rPr>
        <w:tab/>
      </w:r>
      <w:r w:rsidR="001819F7">
        <w:rPr>
          <w:rFonts w:ascii="Arial" w:hAnsi="Arial" w:cs="Arial"/>
          <w:sz w:val="24"/>
          <w:szCs w:val="24"/>
        </w:rPr>
        <w:t>A secondees’ substantive role must be kept open for them to return to at the end of the secondment period.  If this is not possible, then advice must be sought in the first instance from the HR team.</w:t>
      </w:r>
    </w:p>
    <w:p w14:paraId="1689B568" w14:textId="5FFC16CD" w:rsidR="00351349" w:rsidRDefault="00AC4E21" w:rsidP="006E6D1A">
      <w:pPr>
        <w:tabs>
          <w:tab w:val="left" w:pos="709"/>
        </w:tabs>
        <w:ind w:left="705" w:right="-618" w:hanging="705"/>
        <w:jc w:val="both"/>
        <w:rPr>
          <w:rFonts w:ascii="Arial" w:hAnsi="Arial" w:cs="Arial"/>
          <w:sz w:val="24"/>
          <w:szCs w:val="24"/>
        </w:rPr>
      </w:pPr>
      <w:r>
        <w:rPr>
          <w:rFonts w:ascii="Arial" w:hAnsi="Arial" w:cs="Arial"/>
          <w:sz w:val="24"/>
          <w:szCs w:val="24"/>
        </w:rPr>
        <w:t>5.6</w:t>
      </w:r>
      <w:r w:rsidR="001819F7">
        <w:rPr>
          <w:rFonts w:ascii="Arial" w:hAnsi="Arial" w:cs="Arial"/>
          <w:sz w:val="24"/>
          <w:szCs w:val="24"/>
        </w:rPr>
        <w:tab/>
        <w:t>An extension to a secondment</w:t>
      </w:r>
      <w:r w:rsidR="00351349">
        <w:rPr>
          <w:rFonts w:ascii="Arial" w:hAnsi="Arial" w:cs="Arial"/>
          <w:sz w:val="24"/>
          <w:szCs w:val="24"/>
        </w:rPr>
        <w:t xml:space="preserve"> (after the initial confirmed time period) must be approved by the substantive line manager</w:t>
      </w:r>
      <w:r w:rsidR="001819F7">
        <w:rPr>
          <w:rFonts w:ascii="Arial" w:hAnsi="Arial" w:cs="Arial"/>
          <w:sz w:val="24"/>
          <w:szCs w:val="24"/>
        </w:rPr>
        <w:t>, recipient line manager and HR team before</w:t>
      </w:r>
      <w:r w:rsidR="00351349">
        <w:rPr>
          <w:rFonts w:ascii="Arial" w:hAnsi="Arial" w:cs="Arial"/>
          <w:sz w:val="24"/>
          <w:szCs w:val="24"/>
        </w:rPr>
        <w:t xml:space="preserve"> </w:t>
      </w:r>
      <w:r w:rsidR="001819F7">
        <w:rPr>
          <w:rFonts w:ascii="Arial" w:hAnsi="Arial" w:cs="Arial"/>
          <w:sz w:val="24"/>
          <w:szCs w:val="24"/>
        </w:rPr>
        <w:t>it can be agreed.</w:t>
      </w:r>
    </w:p>
    <w:p w14:paraId="7C3D4FA4" w14:textId="30ADF74F" w:rsidR="00A1662B" w:rsidRDefault="00AC4E21" w:rsidP="006E6D1A">
      <w:pPr>
        <w:tabs>
          <w:tab w:val="left" w:pos="709"/>
        </w:tabs>
        <w:ind w:left="705" w:right="-618" w:hanging="705"/>
        <w:jc w:val="both"/>
        <w:rPr>
          <w:rFonts w:ascii="Arial" w:hAnsi="Arial" w:cs="Arial"/>
          <w:sz w:val="24"/>
          <w:szCs w:val="24"/>
        </w:rPr>
      </w:pPr>
      <w:r>
        <w:rPr>
          <w:rFonts w:ascii="Arial" w:hAnsi="Arial" w:cs="Arial"/>
          <w:sz w:val="24"/>
          <w:szCs w:val="24"/>
        </w:rPr>
        <w:t>5.7</w:t>
      </w:r>
      <w:r w:rsidR="00FE607F">
        <w:rPr>
          <w:rFonts w:ascii="Arial" w:hAnsi="Arial" w:cs="Arial"/>
          <w:sz w:val="24"/>
          <w:szCs w:val="24"/>
        </w:rPr>
        <w:tab/>
        <w:t xml:space="preserve">At the end of </w:t>
      </w:r>
      <w:r w:rsidR="001819F7">
        <w:rPr>
          <w:rFonts w:ascii="Arial" w:hAnsi="Arial" w:cs="Arial"/>
          <w:sz w:val="24"/>
          <w:szCs w:val="24"/>
        </w:rPr>
        <w:t>the secondment, and following return to their substantive role, an employee would not normally be eligible to apply for a subsequent secondment before 12 months have elapsed.</w:t>
      </w:r>
    </w:p>
    <w:p w14:paraId="61E57B42" w14:textId="2431BA74" w:rsidR="001F18B7" w:rsidRDefault="00D37A99" w:rsidP="006E6D1A">
      <w:pPr>
        <w:tabs>
          <w:tab w:val="left" w:pos="709"/>
        </w:tabs>
        <w:ind w:left="705" w:right="-618" w:hanging="705"/>
        <w:jc w:val="both"/>
        <w:rPr>
          <w:rFonts w:ascii="Arial" w:hAnsi="Arial" w:cs="Arial"/>
          <w:sz w:val="24"/>
          <w:szCs w:val="24"/>
        </w:rPr>
      </w:pPr>
      <w:r>
        <w:rPr>
          <w:rFonts w:ascii="Arial" w:hAnsi="Arial" w:cs="Arial"/>
          <w:sz w:val="24"/>
          <w:szCs w:val="24"/>
        </w:rPr>
        <w:t xml:space="preserve"> </w:t>
      </w:r>
    </w:p>
    <w:p w14:paraId="579D0E91" w14:textId="414CCE2D" w:rsidR="00904EE8" w:rsidRPr="00467F15" w:rsidRDefault="00904EE8" w:rsidP="00AC5F76">
      <w:pPr>
        <w:shd w:val="clear" w:color="auto" w:fill="FFFFFF"/>
        <w:spacing w:before="240" w:after="120" w:line="336" w:lineRule="auto"/>
        <w:jc w:val="center"/>
        <w:rPr>
          <w:rFonts w:ascii="Arial" w:hAnsi="Arial" w:cs="Arial"/>
          <w:sz w:val="24"/>
          <w:szCs w:val="24"/>
        </w:rPr>
      </w:pPr>
    </w:p>
    <w:sectPr w:rsidR="00904EE8" w:rsidRPr="00467F1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2B34F" w14:textId="77777777" w:rsidR="008471C2" w:rsidRDefault="008471C2" w:rsidP="00F512F1">
      <w:pPr>
        <w:spacing w:after="0" w:line="240" w:lineRule="auto"/>
      </w:pPr>
      <w:r>
        <w:separator/>
      </w:r>
    </w:p>
  </w:endnote>
  <w:endnote w:type="continuationSeparator" w:id="0">
    <w:p w14:paraId="20830B3F" w14:textId="77777777" w:rsidR="008471C2" w:rsidRDefault="008471C2" w:rsidP="00F5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3534"/>
      <w:docPartObj>
        <w:docPartGallery w:val="Page Numbers (Bottom of Page)"/>
        <w:docPartUnique/>
      </w:docPartObj>
    </w:sdtPr>
    <w:sdtEndPr/>
    <w:sdtContent>
      <w:sdt>
        <w:sdtPr>
          <w:id w:val="-1669238322"/>
          <w:docPartObj>
            <w:docPartGallery w:val="Page Numbers (Top of Page)"/>
            <w:docPartUnique/>
          </w:docPartObj>
        </w:sdtPr>
        <w:sdtEndPr/>
        <w:sdtContent>
          <w:p w14:paraId="798677D4" w14:textId="1A3BA820" w:rsidR="003F5EBE" w:rsidRDefault="003F5E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3717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7171">
              <w:rPr>
                <w:b/>
                <w:bCs/>
                <w:noProof/>
              </w:rPr>
              <w:t>3</w:t>
            </w:r>
            <w:r>
              <w:rPr>
                <w:b/>
                <w:bCs/>
                <w:sz w:val="24"/>
                <w:szCs w:val="24"/>
              </w:rPr>
              <w:fldChar w:fldCharType="end"/>
            </w:r>
          </w:p>
        </w:sdtContent>
      </w:sdt>
    </w:sdtContent>
  </w:sdt>
  <w:p w14:paraId="66212EBE" w14:textId="03673D1B" w:rsidR="00F512F1" w:rsidRDefault="00F51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62E23" w14:textId="77777777" w:rsidR="008471C2" w:rsidRDefault="008471C2" w:rsidP="00F512F1">
      <w:pPr>
        <w:spacing w:after="0" w:line="240" w:lineRule="auto"/>
      </w:pPr>
      <w:r>
        <w:separator/>
      </w:r>
    </w:p>
  </w:footnote>
  <w:footnote w:type="continuationSeparator" w:id="0">
    <w:p w14:paraId="1AE96FC7" w14:textId="77777777" w:rsidR="008471C2" w:rsidRDefault="008471C2" w:rsidP="00F51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7C81A" w14:textId="2B5D0044" w:rsidR="004A5575" w:rsidRPr="00BC11C4" w:rsidRDefault="004A5575" w:rsidP="004E4053">
    <w:pPr>
      <w:pStyle w:val="Header"/>
      <w:tabs>
        <w:tab w:val="clear" w:pos="4513"/>
        <w:tab w:val="clear" w:pos="9026"/>
        <w:tab w:val="left" w:pos="2895"/>
      </w:tabs>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1E1C"/>
    <w:multiLevelType w:val="hybridMultilevel"/>
    <w:tmpl w:val="C0341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7C02F0"/>
    <w:multiLevelType w:val="hybridMultilevel"/>
    <w:tmpl w:val="E5D82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99440C"/>
    <w:multiLevelType w:val="hybridMultilevel"/>
    <w:tmpl w:val="4708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07ABC"/>
    <w:multiLevelType w:val="multilevel"/>
    <w:tmpl w:val="B6F8E04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5B62FF"/>
    <w:multiLevelType w:val="hybridMultilevel"/>
    <w:tmpl w:val="25488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643503"/>
    <w:multiLevelType w:val="multilevel"/>
    <w:tmpl w:val="EED405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1606679"/>
    <w:multiLevelType w:val="hybridMultilevel"/>
    <w:tmpl w:val="FC00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B94CA5"/>
    <w:multiLevelType w:val="multilevel"/>
    <w:tmpl w:val="320E90B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692A12"/>
    <w:multiLevelType w:val="multilevel"/>
    <w:tmpl w:val="320E90B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3F43419"/>
    <w:multiLevelType w:val="multilevel"/>
    <w:tmpl w:val="B6F8E04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4C384DE3"/>
    <w:multiLevelType w:val="multilevel"/>
    <w:tmpl w:val="5ABA0B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1; 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BE6BAD"/>
    <w:multiLevelType w:val="multilevel"/>
    <w:tmpl w:val="2A5A14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E06207"/>
    <w:multiLevelType w:val="hybridMultilevel"/>
    <w:tmpl w:val="BEA43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F84024"/>
    <w:multiLevelType w:val="multilevel"/>
    <w:tmpl w:val="AEA8C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44271C5"/>
    <w:multiLevelType w:val="hybridMultilevel"/>
    <w:tmpl w:val="289678A2"/>
    <w:lvl w:ilvl="0" w:tplc="08090001">
      <w:start w:val="1"/>
      <w:numFmt w:val="bullet"/>
      <w:lvlText w:val=""/>
      <w:lvlJc w:val="left"/>
      <w:pPr>
        <w:ind w:left="1473" w:hanging="360"/>
      </w:pPr>
      <w:rPr>
        <w:rFonts w:ascii="Symbol" w:hAnsi="Symbol"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15" w15:restartNumberingAfterBreak="0">
    <w:nsid w:val="6873597C"/>
    <w:multiLevelType w:val="multilevel"/>
    <w:tmpl w:val="F2264D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9476CC"/>
    <w:multiLevelType w:val="hybridMultilevel"/>
    <w:tmpl w:val="7048D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C27C62"/>
    <w:multiLevelType w:val="multilevel"/>
    <w:tmpl w:val="70CC9DEE"/>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isLgl/>
      <w:lvlText w:val="%1.%2.%3"/>
      <w:lvlJc w:val="left"/>
      <w:pPr>
        <w:tabs>
          <w:tab w:val="num" w:pos="964"/>
        </w:tabs>
        <w:ind w:left="964" w:hanging="964"/>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7E166D41"/>
    <w:multiLevelType w:val="hybridMultilevel"/>
    <w:tmpl w:val="F704E5A8"/>
    <w:lvl w:ilvl="0" w:tplc="0A6E74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E164AE"/>
    <w:multiLevelType w:val="hybridMultilevel"/>
    <w:tmpl w:val="6AE689A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num w:numId="1">
    <w:abstractNumId w:val="1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num>
  <w:num w:numId="5">
    <w:abstractNumId w:val="10"/>
  </w:num>
  <w:num w:numId="6">
    <w:abstractNumId w:val="13"/>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6"/>
  </w:num>
  <w:num w:numId="12">
    <w:abstractNumId w:val="12"/>
  </w:num>
  <w:num w:numId="13">
    <w:abstractNumId w:val="4"/>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9"/>
  </w:num>
  <w:num w:numId="19">
    <w:abstractNumId w:val="18"/>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4E"/>
    <w:rsid w:val="000239C3"/>
    <w:rsid w:val="00043A7B"/>
    <w:rsid w:val="000612BC"/>
    <w:rsid w:val="00061BE7"/>
    <w:rsid w:val="00084E00"/>
    <w:rsid w:val="00116127"/>
    <w:rsid w:val="001819F7"/>
    <w:rsid w:val="00182281"/>
    <w:rsid w:val="001870DD"/>
    <w:rsid w:val="001C42FC"/>
    <w:rsid w:val="001F18B7"/>
    <w:rsid w:val="00206F78"/>
    <w:rsid w:val="002537C0"/>
    <w:rsid w:val="00253F9B"/>
    <w:rsid w:val="00274A62"/>
    <w:rsid w:val="0027591C"/>
    <w:rsid w:val="002E4A23"/>
    <w:rsid w:val="002E64AA"/>
    <w:rsid w:val="003070E3"/>
    <w:rsid w:val="00331BBF"/>
    <w:rsid w:val="00344DBA"/>
    <w:rsid w:val="003452AD"/>
    <w:rsid w:val="00346DD8"/>
    <w:rsid w:val="00351349"/>
    <w:rsid w:val="00355AA7"/>
    <w:rsid w:val="003F5EBE"/>
    <w:rsid w:val="00430044"/>
    <w:rsid w:val="00450655"/>
    <w:rsid w:val="00467F15"/>
    <w:rsid w:val="0048086C"/>
    <w:rsid w:val="004930A1"/>
    <w:rsid w:val="004A5575"/>
    <w:rsid w:val="004E4053"/>
    <w:rsid w:val="005043F9"/>
    <w:rsid w:val="005172A2"/>
    <w:rsid w:val="005520B4"/>
    <w:rsid w:val="005634B3"/>
    <w:rsid w:val="005640F3"/>
    <w:rsid w:val="005839D8"/>
    <w:rsid w:val="00587524"/>
    <w:rsid w:val="005A0D70"/>
    <w:rsid w:val="00607EFB"/>
    <w:rsid w:val="0066104C"/>
    <w:rsid w:val="006842B0"/>
    <w:rsid w:val="006C04CD"/>
    <w:rsid w:val="006D593E"/>
    <w:rsid w:val="006E6D1A"/>
    <w:rsid w:val="006F734C"/>
    <w:rsid w:val="00702931"/>
    <w:rsid w:val="00710B79"/>
    <w:rsid w:val="00712EFE"/>
    <w:rsid w:val="007306A1"/>
    <w:rsid w:val="00747333"/>
    <w:rsid w:val="00772A10"/>
    <w:rsid w:val="007F3773"/>
    <w:rsid w:val="00814304"/>
    <w:rsid w:val="00816B04"/>
    <w:rsid w:val="00822360"/>
    <w:rsid w:val="00823EEB"/>
    <w:rsid w:val="00824A59"/>
    <w:rsid w:val="008471C2"/>
    <w:rsid w:val="008C58CE"/>
    <w:rsid w:val="008C5FBB"/>
    <w:rsid w:val="008E2954"/>
    <w:rsid w:val="008F5643"/>
    <w:rsid w:val="00904EE8"/>
    <w:rsid w:val="00970676"/>
    <w:rsid w:val="009B49FA"/>
    <w:rsid w:val="009C24EF"/>
    <w:rsid w:val="009E26A7"/>
    <w:rsid w:val="00A1662B"/>
    <w:rsid w:val="00A645FF"/>
    <w:rsid w:val="00A842C6"/>
    <w:rsid w:val="00A91592"/>
    <w:rsid w:val="00AB032E"/>
    <w:rsid w:val="00AC4E21"/>
    <w:rsid w:val="00AC5F76"/>
    <w:rsid w:val="00B10867"/>
    <w:rsid w:val="00B67600"/>
    <w:rsid w:val="00B72D9B"/>
    <w:rsid w:val="00BC11C4"/>
    <w:rsid w:val="00BD324B"/>
    <w:rsid w:val="00C03874"/>
    <w:rsid w:val="00C37171"/>
    <w:rsid w:val="00C4185F"/>
    <w:rsid w:val="00C84EAB"/>
    <w:rsid w:val="00C946E2"/>
    <w:rsid w:val="00CA70AA"/>
    <w:rsid w:val="00CE55E4"/>
    <w:rsid w:val="00D00D1C"/>
    <w:rsid w:val="00D057E9"/>
    <w:rsid w:val="00D10315"/>
    <w:rsid w:val="00D10D4E"/>
    <w:rsid w:val="00D234BF"/>
    <w:rsid w:val="00D37A99"/>
    <w:rsid w:val="00D6127F"/>
    <w:rsid w:val="00D75C55"/>
    <w:rsid w:val="00D81EE6"/>
    <w:rsid w:val="00DE7521"/>
    <w:rsid w:val="00E52B5E"/>
    <w:rsid w:val="00E64852"/>
    <w:rsid w:val="00E919D2"/>
    <w:rsid w:val="00EE386F"/>
    <w:rsid w:val="00F34973"/>
    <w:rsid w:val="00F512F1"/>
    <w:rsid w:val="00F51F26"/>
    <w:rsid w:val="00F56FF1"/>
    <w:rsid w:val="00F71487"/>
    <w:rsid w:val="00F73462"/>
    <w:rsid w:val="00F810E7"/>
    <w:rsid w:val="00FA581C"/>
    <w:rsid w:val="00FA63F9"/>
    <w:rsid w:val="00FE607F"/>
    <w:rsid w:val="00FF5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AD416"/>
  <w15:docId w15:val="{3AFBBA4B-DB4F-4364-8098-5699BC9F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3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4A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10D4E"/>
    <w:pPr>
      <w:overflowPunct w:val="0"/>
      <w:autoSpaceDE w:val="0"/>
      <w:autoSpaceDN w:val="0"/>
      <w:adjustRightInd w:val="0"/>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D10D4E"/>
    <w:rPr>
      <w:rFonts w:ascii="Arial" w:eastAsia="Times New Roman" w:hAnsi="Arial" w:cs="Arial"/>
      <w:sz w:val="20"/>
      <w:szCs w:val="20"/>
    </w:rPr>
  </w:style>
  <w:style w:type="paragraph" w:styleId="ListParagraph">
    <w:name w:val="List Paragraph"/>
    <w:basedOn w:val="Normal"/>
    <w:uiPriority w:val="34"/>
    <w:qFormat/>
    <w:rsid w:val="00D10D4E"/>
    <w:pPr>
      <w:overflowPunct w:val="0"/>
      <w:autoSpaceDE w:val="0"/>
      <w:autoSpaceDN w:val="0"/>
      <w:adjustRightInd w:val="0"/>
      <w:spacing w:after="0" w:line="240" w:lineRule="auto"/>
      <w:ind w:left="720"/>
      <w:contextualSpacing/>
    </w:pPr>
    <w:rPr>
      <w:rFonts w:ascii="Arial" w:eastAsia="Times New Roman" w:hAnsi="Arial" w:cs="Arial"/>
      <w:sz w:val="24"/>
      <w:szCs w:val="24"/>
    </w:rPr>
  </w:style>
  <w:style w:type="character" w:styleId="CommentReference">
    <w:name w:val="annotation reference"/>
    <w:basedOn w:val="DefaultParagraphFont"/>
    <w:uiPriority w:val="99"/>
    <w:semiHidden/>
    <w:unhideWhenUsed/>
    <w:rsid w:val="00D10D4E"/>
    <w:rPr>
      <w:sz w:val="16"/>
      <w:szCs w:val="16"/>
    </w:rPr>
  </w:style>
  <w:style w:type="paragraph" w:styleId="BalloonText">
    <w:name w:val="Balloon Text"/>
    <w:basedOn w:val="Normal"/>
    <w:link w:val="BalloonTextChar"/>
    <w:uiPriority w:val="99"/>
    <w:semiHidden/>
    <w:unhideWhenUsed/>
    <w:rsid w:val="00D10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D4E"/>
    <w:rPr>
      <w:rFonts w:ascii="Tahoma" w:hAnsi="Tahoma" w:cs="Tahoma"/>
      <w:sz w:val="16"/>
      <w:szCs w:val="16"/>
    </w:rPr>
  </w:style>
  <w:style w:type="character" w:styleId="Hyperlink">
    <w:name w:val="Hyperlink"/>
    <w:uiPriority w:val="99"/>
    <w:unhideWhenUsed/>
    <w:rsid w:val="00061BE7"/>
    <w:rPr>
      <w:color w:val="0000FF"/>
      <w:u w:val="single"/>
    </w:rPr>
  </w:style>
  <w:style w:type="paragraph" w:styleId="Header">
    <w:name w:val="header"/>
    <w:basedOn w:val="Normal"/>
    <w:link w:val="HeaderChar"/>
    <w:uiPriority w:val="99"/>
    <w:unhideWhenUsed/>
    <w:rsid w:val="00F51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2F1"/>
  </w:style>
  <w:style w:type="paragraph" w:styleId="Footer">
    <w:name w:val="footer"/>
    <w:basedOn w:val="Normal"/>
    <w:link w:val="FooterChar"/>
    <w:uiPriority w:val="99"/>
    <w:unhideWhenUsed/>
    <w:rsid w:val="00F51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2F1"/>
  </w:style>
  <w:style w:type="character" w:customStyle="1" w:styleId="Heading1Char">
    <w:name w:val="Heading 1 Char"/>
    <w:basedOn w:val="DefaultParagraphFont"/>
    <w:link w:val="Heading1"/>
    <w:uiPriority w:val="9"/>
    <w:rsid w:val="00823EE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274A62"/>
    <w:pPr>
      <w:spacing w:after="100"/>
    </w:pPr>
  </w:style>
  <w:style w:type="character" w:customStyle="1" w:styleId="Heading2Char">
    <w:name w:val="Heading 2 Char"/>
    <w:basedOn w:val="DefaultParagraphFont"/>
    <w:link w:val="Heading2"/>
    <w:uiPriority w:val="9"/>
    <w:rsid w:val="00274A6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274A62"/>
    <w:pPr>
      <w:spacing w:after="100"/>
      <w:ind w:left="220"/>
    </w:pPr>
  </w:style>
  <w:style w:type="character" w:styleId="FollowedHyperlink">
    <w:name w:val="FollowedHyperlink"/>
    <w:basedOn w:val="DefaultParagraphFont"/>
    <w:uiPriority w:val="99"/>
    <w:semiHidden/>
    <w:unhideWhenUsed/>
    <w:rsid w:val="00A1662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43A7B"/>
    <w:pPr>
      <w:overflowPunct/>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43A7B"/>
    <w:rPr>
      <w:rFonts w:ascii="Arial" w:eastAsia="Times New Roman" w:hAnsi="Arial" w:cs="Arial"/>
      <w:b/>
      <w:bCs/>
      <w:sz w:val="20"/>
      <w:szCs w:val="20"/>
    </w:rPr>
  </w:style>
  <w:style w:type="table" w:styleId="TableGrid">
    <w:name w:val="Table Grid"/>
    <w:basedOn w:val="TableNormal"/>
    <w:uiPriority w:val="59"/>
    <w:rsid w:val="00FF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24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C24EF"/>
  </w:style>
  <w:style w:type="character" w:customStyle="1" w:styleId="highlight">
    <w:name w:val="highlight"/>
    <w:basedOn w:val="DefaultParagraphFont"/>
    <w:rsid w:val="009C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15026">
      <w:bodyDiv w:val="1"/>
      <w:marLeft w:val="0"/>
      <w:marRight w:val="0"/>
      <w:marTop w:val="0"/>
      <w:marBottom w:val="0"/>
      <w:divBdr>
        <w:top w:val="none" w:sz="0" w:space="0" w:color="auto"/>
        <w:left w:val="none" w:sz="0" w:space="0" w:color="auto"/>
        <w:bottom w:val="none" w:sz="0" w:space="0" w:color="auto"/>
        <w:right w:val="none" w:sz="0" w:space="0" w:color="auto"/>
      </w:divBdr>
    </w:div>
    <w:div w:id="1431273271">
      <w:bodyDiv w:val="1"/>
      <w:marLeft w:val="0"/>
      <w:marRight w:val="0"/>
      <w:marTop w:val="0"/>
      <w:marBottom w:val="0"/>
      <w:divBdr>
        <w:top w:val="none" w:sz="0" w:space="0" w:color="auto"/>
        <w:left w:val="none" w:sz="0" w:space="0" w:color="auto"/>
        <w:bottom w:val="none" w:sz="0" w:space="0" w:color="auto"/>
        <w:right w:val="none" w:sz="0" w:space="0" w:color="auto"/>
      </w:divBdr>
    </w:div>
    <w:div w:id="1543520929">
      <w:bodyDiv w:val="1"/>
      <w:marLeft w:val="0"/>
      <w:marRight w:val="0"/>
      <w:marTop w:val="0"/>
      <w:marBottom w:val="0"/>
      <w:divBdr>
        <w:top w:val="none" w:sz="0" w:space="0" w:color="auto"/>
        <w:left w:val="none" w:sz="0" w:space="0" w:color="auto"/>
        <w:bottom w:val="none" w:sz="0" w:space="0" w:color="auto"/>
        <w:right w:val="none" w:sz="0" w:space="0" w:color="auto"/>
      </w:divBdr>
    </w:div>
    <w:div w:id="1780100690">
      <w:bodyDiv w:val="1"/>
      <w:marLeft w:val="0"/>
      <w:marRight w:val="0"/>
      <w:marTop w:val="0"/>
      <w:marBottom w:val="0"/>
      <w:divBdr>
        <w:top w:val="none" w:sz="0" w:space="0" w:color="auto"/>
        <w:left w:val="none" w:sz="0" w:space="0" w:color="auto"/>
        <w:bottom w:val="none" w:sz="0" w:space="0" w:color="auto"/>
        <w:right w:val="none" w:sz="0" w:space="0" w:color="auto"/>
      </w:divBdr>
    </w:div>
    <w:div w:id="2050446793">
      <w:bodyDiv w:val="1"/>
      <w:marLeft w:val="0"/>
      <w:marRight w:val="0"/>
      <w:marTop w:val="0"/>
      <w:marBottom w:val="0"/>
      <w:divBdr>
        <w:top w:val="none" w:sz="0" w:space="0" w:color="auto"/>
        <w:left w:val="none" w:sz="0" w:space="0" w:color="auto"/>
        <w:bottom w:val="none" w:sz="0" w:space="0" w:color="auto"/>
        <w:right w:val="none" w:sz="0" w:space="0" w:color="auto"/>
      </w:divBdr>
    </w:div>
    <w:div w:id="206178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9b920bb-4f15-4fae-9738-82eeb8e0e1a0"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188EF-9D6F-4A46-97E1-51766637F490}"/>
</file>

<file path=customXml/itemProps2.xml><?xml version="1.0" encoding="utf-8"?>
<ds:datastoreItem xmlns:ds="http://schemas.openxmlformats.org/officeDocument/2006/customXml" ds:itemID="{738DCC08-F52D-47AD-A07B-9562925CBC46}">
  <ds:schemaRefs>
    <ds:schemaRef ds:uri="http://schemas.microsoft.com/office/2006/metadata/properties"/>
    <ds:schemaRef ds:uri="http://schemas.microsoft.com/office/infopath/2007/PartnerControls"/>
    <ds:schemaRef ds:uri="e4ee1351-6712-4df0-b39f-026aba693b5d"/>
    <ds:schemaRef ds:uri="6cbf4a9c-2aa7-49a7-8faa-850bdb981c11"/>
    <ds:schemaRef ds:uri="130b1115-b206-47eb-92ac-9e56f9f22712"/>
    <ds:schemaRef ds:uri="299e9bb1-c380-4086-bad8-d8471915ec23"/>
    <ds:schemaRef ds:uri="db2d774b-9f90-4c06-8529-0a8edc497ce5"/>
  </ds:schemaRefs>
</ds:datastoreItem>
</file>

<file path=customXml/itemProps3.xml><?xml version="1.0" encoding="utf-8"?>
<ds:datastoreItem xmlns:ds="http://schemas.openxmlformats.org/officeDocument/2006/customXml" ds:itemID="{3F7342C3-5DFF-447C-8491-EE7438E36620}">
  <ds:schemaRefs>
    <ds:schemaRef ds:uri="http://schemas.microsoft.com/sharepoint/v3/contenttype/forms"/>
  </ds:schemaRefs>
</ds:datastoreItem>
</file>

<file path=customXml/itemProps4.xml><?xml version="1.0" encoding="utf-8"?>
<ds:datastoreItem xmlns:ds="http://schemas.openxmlformats.org/officeDocument/2006/customXml" ds:itemID="{3752D6C7-CEFA-4F58-B8F3-38AC51BA6148}">
  <ds:schemaRefs>
    <ds:schemaRef ds:uri="Microsoft.SharePoint.Taxonomy.ContentTypeSync"/>
  </ds:schemaRefs>
</ds:datastoreItem>
</file>

<file path=customXml/itemProps5.xml><?xml version="1.0" encoding="utf-8"?>
<ds:datastoreItem xmlns:ds="http://schemas.openxmlformats.org/officeDocument/2006/customXml" ds:itemID="{2F64AE69-1997-457E-A340-7D2768F5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Internal Secondment Policy, Process and Guidance - updated July 17</vt:lpstr>
    </vt:vector>
  </TitlesOfParts>
  <Company>London Borough of Croydon</Company>
  <LinksUpToDate>false</LinksUpToDate>
  <CharactersWithSpaces>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Secondment Policy, Process and Guidance - updated July 17</dc:title>
  <dc:subject/>
  <dc:creator>Benjamin, Maxine</dc:creator>
  <cp:keywords/>
  <dc:description/>
  <cp:lastModifiedBy>Benjamin, Maxine</cp:lastModifiedBy>
  <cp:revision>2</cp:revision>
  <cp:lastPrinted>2016-04-12T12:54:00Z</cp:lastPrinted>
  <dcterms:created xsi:type="dcterms:W3CDTF">2021-06-18T12:30:00Z</dcterms:created>
  <dcterms:modified xsi:type="dcterms:W3CDTF">2021-06-18T12:30:00Z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TaxKeyword">
    <vt:lpwstr/>
  </property>
  <property fmtid="{D5CDD505-2E9C-101B-9397-08002B2CF9AE}" pid="4" name="DocumentType">
    <vt:lpwstr>1891;#Reference|359164e5-1831-4407-bb75-2ec06ca9b442</vt:lpwstr>
  </property>
  <property fmtid="{D5CDD505-2E9C-101B-9397-08002B2CF9AE}" pid="5" name="OrganisationalUnit">
    <vt:lpwstr>1634;#HR Consultancy|55ea8212-47bb-4b64-9612-cbc9ee821fc2</vt:lpwstr>
  </property>
  <property fmtid="{D5CDD505-2E9C-101B-9397-08002B2CF9AE}" pid="6" name="ProtectiveClassification">
    <vt:lpwstr>NOT CLASSIFIED</vt:lpwstr>
  </property>
</Properties>
</file>