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8302"/>
      </w:tblGrid>
      <w:tr w:rsidR="00DA2289">
        <w:tblPrEx>
          <w:tblCellMar>
            <w:top w:w="0" w:type="dxa"/>
            <w:bottom w:w="0" w:type="dxa"/>
          </w:tblCellMar>
        </w:tblPrEx>
        <w:tc>
          <w:tcPr>
            <w:tcW w:w="8522" w:type="dxa"/>
            <w:shd w:val="clear" w:color="auto" w:fill="000000"/>
          </w:tcPr>
          <w:p w:rsidR="00DA2289" w:rsidRDefault="00DA2289">
            <w:pPr>
              <w:pStyle w:val="Heading1"/>
              <w:rPr>
                <w:sz w:val="24"/>
              </w:rPr>
            </w:pPr>
            <w:r>
              <w:br/>
            </w:r>
            <w:r>
              <w:rPr>
                <w:sz w:val="24"/>
              </w:rPr>
              <w:t>Testing Protocol for Breathalysers</w:t>
            </w:r>
            <w:r>
              <w:rPr>
                <w:sz w:val="24"/>
              </w:rPr>
              <w:br/>
            </w:r>
          </w:p>
        </w:tc>
      </w:tr>
    </w:tbl>
    <w:p w:rsidR="00DA2289" w:rsidRDefault="00DA2289">
      <w:pPr>
        <w:jc w:val="center"/>
        <w:rPr>
          <w:b/>
          <w:bCs w:val="0"/>
          <w:sz w:val="22"/>
        </w:rPr>
      </w:pPr>
    </w:p>
    <w:p w:rsidR="00175758" w:rsidRDefault="00175758" w:rsidP="00175758">
      <w:pPr>
        <w:pStyle w:val="BodyText"/>
      </w:pPr>
      <w:r>
        <w:rPr>
          <w:b/>
          <w:bCs w:val="0"/>
        </w:rPr>
        <w:t xml:space="preserve">This protocol document should be read in conjunction with the Principles of Managing Alcohol, Drugs and other Substance Misuse.  The Principles can be found on the intranet. </w:t>
      </w:r>
      <w:r>
        <w:rPr>
          <w:b/>
          <w:bCs w:val="0"/>
        </w:rPr>
        <w:br/>
      </w:r>
      <w:r>
        <w:br/>
        <w:t xml:space="preserve">Where management has reasonable grounds to believe that an employee is or may be under the influence of alcohol, testing in the form of a breathalyser may be carried out on members of staff who work in safety critical roles. These roles include those working with machinery, those whose job duties involve driving and those whose job involve responsibility for the care of others.  </w:t>
      </w:r>
    </w:p>
    <w:p w:rsidR="00175758" w:rsidRDefault="00175758" w:rsidP="00175758">
      <w:pPr>
        <w:pStyle w:val="BodyText"/>
      </w:pPr>
    </w:p>
    <w:p w:rsidR="00175758" w:rsidRDefault="00175758" w:rsidP="00175758">
      <w:pPr>
        <w:pStyle w:val="BodyText"/>
      </w:pPr>
      <w:r>
        <w:t xml:space="preserve">Breathalysers can be purchased from </w:t>
      </w:r>
      <w:hyperlink r:id="rId10" w:history="1">
        <w:r>
          <w:rPr>
            <w:rStyle w:val="Hyperlink"/>
          </w:rPr>
          <w:t>http://www.surescreen.com</w:t>
        </w:r>
      </w:hyperlink>
      <w:r>
        <w:t xml:space="preserve"> or on </w:t>
      </w:r>
      <w:proofErr w:type="spellStart"/>
      <w:r>
        <w:t>ph</w:t>
      </w:r>
      <w:proofErr w:type="spellEnd"/>
      <w:r>
        <w:t>: +44 (0) 1332 365318.</w:t>
      </w:r>
    </w:p>
    <w:p w:rsidR="00175758" w:rsidRDefault="00175758" w:rsidP="00175758">
      <w:pPr>
        <w:pStyle w:val="BodyText"/>
      </w:pPr>
    </w:p>
    <w:p w:rsidR="00175758" w:rsidRDefault="00175758" w:rsidP="00175758">
      <w:pPr>
        <w:pStyle w:val="BodyText"/>
        <w:rPr>
          <w:b/>
          <w:bCs w:val="0"/>
        </w:rPr>
      </w:pPr>
      <w:r>
        <w:t xml:space="preserve">Outlined below is the correct protocol for the use of such breathalysers within the Council. </w:t>
      </w:r>
      <w:r>
        <w:br/>
      </w:r>
    </w:p>
    <w:p w:rsidR="00175758" w:rsidRDefault="00175758" w:rsidP="00175758">
      <w:pPr>
        <w:numPr>
          <w:ilvl w:val="0"/>
          <w:numId w:val="2"/>
        </w:numPr>
        <w:jc w:val="both"/>
        <w:rPr>
          <w:sz w:val="22"/>
        </w:rPr>
      </w:pPr>
      <w:r>
        <w:rPr>
          <w:sz w:val="22"/>
        </w:rPr>
        <w:t>The breathalyser unit will be kept locked in a secure place between tests with a key held by the line manager.</w:t>
      </w:r>
    </w:p>
    <w:p w:rsidR="00175758" w:rsidRDefault="00175758" w:rsidP="00175758">
      <w:pPr>
        <w:jc w:val="both"/>
        <w:rPr>
          <w:sz w:val="22"/>
        </w:rPr>
      </w:pPr>
    </w:p>
    <w:p w:rsidR="00175758" w:rsidRDefault="00175758" w:rsidP="00175758">
      <w:pPr>
        <w:numPr>
          <w:ilvl w:val="0"/>
          <w:numId w:val="2"/>
        </w:numPr>
        <w:jc w:val="both"/>
        <w:rPr>
          <w:sz w:val="22"/>
        </w:rPr>
      </w:pPr>
      <w:r>
        <w:rPr>
          <w:sz w:val="22"/>
        </w:rPr>
        <w:t>All tests will be logged to ensure calibration at the defined intervals.</w:t>
      </w:r>
    </w:p>
    <w:p w:rsidR="00175758" w:rsidRDefault="00175758" w:rsidP="00175758">
      <w:pPr>
        <w:jc w:val="both"/>
        <w:rPr>
          <w:sz w:val="22"/>
        </w:rPr>
      </w:pPr>
    </w:p>
    <w:p w:rsidR="00175758" w:rsidRDefault="00175758" w:rsidP="00175758">
      <w:pPr>
        <w:numPr>
          <w:ilvl w:val="0"/>
          <w:numId w:val="2"/>
        </w:numPr>
        <w:jc w:val="both"/>
        <w:rPr>
          <w:sz w:val="22"/>
        </w:rPr>
      </w:pPr>
      <w:r>
        <w:rPr>
          <w:sz w:val="22"/>
        </w:rPr>
        <w:t>Random testing will be conducted by the line manager in private, in accordance with manufacturer’s instructions.</w:t>
      </w:r>
    </w:p>
    <w:p w:rsidR="00175758" w:rsidRDefault="00175758" w:rsidP="00175758">
      <w:pPr>
        <w:jc w:val="both"/>
        <w:rPr>
          <w:sz w:val="22"/>
        </w:rPr>
      </w:pPr>
    </w:p>
    <w:p w:rsidR="00175758" w:rsidRDefault="00175758" w:rsidP="00175758">
      <w:pPr>
        <w:numPr>
          <w:ilvl w:val="0"/>
          <w:numId w:val="2"/>
        </w:numPr>
        <w:jc w:val="both"/>
        <w:rPr>
          <w:sz w:val="22"/>
        </w:rPr>
      </w:pPr>
      <w:r>
        <w:rPr>
          <w:sz w:val="22"/>
        </w:rPr>
        <w:t>Test outcomes will be recorded on the attached proforma and both parties will sign the agreed reading.</w:t>
      </w:r>
    </w:p>
    <w:p w:rsidR="00175758" w:rsidRDefault="00175758" w:rsidP="00175758">
      <w:pPr>
        <w:jc w:val="both"/>
        <w:rPr>
          <w:sz w:val="22"/>
        </w:rPr>
      </w:pPr>
    </w:p>
    <w:p w:rsidR="00175758" w:rsidRDefault="00175758" w:rsidP="00175758">
      <w:pPr>
        <w:numPr>
          <w:ilvl w:val="0"/>
          <w:numId w:val="2"/>
        </w:numPr>
        <w:jc w:val="both"/>
        <w:rPr>
          <w:sz w:val="22"/>
        </w:rPr>
      </w:pPr>
      <w:r>
        <w:rPr>
          <w:sz w:val="22"/>
        </w:rPr>
        <w:t>If there is a positive reading this will be recorded as above and a further reading taken 15 minutes later.  This will determine whether the alcohol taken was from the previous day (reading reduces) or whether recent (reading increases).  Further test outcome to be recorded on the proforma.  If the reading is increasing, further tests will be required until the level stabilises.</w:t>
      </w:r>
    </w:p>
    <w:p w:rsidR="00175758" w:rsidRDefault="00175758" w:rsidP="00175758">
      <w:pPr>
        <w:jc w:val="both"/>
        <w:rPr>
          <w:sz w:val="22"/>
        </w:rPr>
      </w:pPr>
    </w:p>
    <w:p w:rsidR="00175758" w:rsidRDefault="00175758" w:rsidP="00175758">
      <w:pPr>
        <w:numPr>
          <w:ilvl w:val="0"/>
          <w:numId w:val="2"/>
        </w:numPr>
        <w:jc w:val="both"/>
        <w:rPr>
          <w:sz w:val="22"/>
        </w:rPr>
      </w:pPr>
      <w:r>
        <w:rPr>
          <w:sz w:val="22"/>
        </w:rPr>
        <w:t>If the reading exceeds the 35mg/l level legal driving limit the employee will be suspended immediately.  The Council will allow an independent test by  another manager or a Human Resources representative if the employee requests this endorsement as long as this can be arranged within a period of 30 minutes from the previous test.</w:t>
      </w:r>
    </w:p>
    <w:p w:rsidR="00175758" w:rsidRDefault="00175758" w:rsidP="00175758">
      <w:pPr>
        <w:jc w:val="both"/>
        <w:rPr>
          <w:sz w:val="22"/>
        </w:rPr>
      </w:pPr>
    </w:p>
    <w:p w:rsidR="00175758" w:rsidRDefault="00175758" w:rsidP="00175758">
      <w:pPr>
        <w:numPr>
          <w:ilvl w:val="0"/>
          <w:numId w:val="2"/>
        </w:numPr>
        <w:jc w:val="both"/>
        <w:rPr>
          <w:sz w:val="22"/>
        </w:rPr>
      </w:pPr>
      <w:r>
        <w:rPr>
          <w:sz w:val="22"/>
        </w:rPr>
        <w:t xml:space="preserve">If the employee refuses to have the test or refuses to sign the test outcome proforma, seek advice from Human Resources.  </w:t>
      </w:r>
    </w:p>
    <w:p w:rsidR="00175758" w:rsidRDefault="00175758" w:rsidP="00175758">
      <w:pPr>
        <w:jc w:val="both"/>
        <w:rPr>
          <w:sz w:val="22"/>
        </w:rPr>
      </w:pPr>
    </w:p>
    <w:p w:rsidR="00175758" w:rsidRDefault="00175758" w:rsidP="00175758">
      <w:pPr>
        <w:numPr>
          <w:ilvl w:val="0"/>
          <w:numId w:val="2"/>
        </w:numPr>
        <w:jc w:val="both"/>
        <w:rPr>
          <w:sz w:val="22"/>
        </w:rPr>
      </w:pPr>
      <w:r>
        <w:rPr>
          <w:sz w:val="22"/>
        </w:rPr>
        <w:t>In relation to the specific circumstances of the case under review, it is also recommended that if a morning test indicates increasing levels of alcohol that action is taken in accordance with the Principles of Managing Alcohol, Drugs and other Substance Misuse.</w:t>
      </w:r>
    </w:p>
    <w:p w:rsidR="00DA2289" w:rsidRDefault="00DA2289">
      <w:pPr>
        <w:jc w:val="both"/>
        <w:rPr>
          <w:sz w:val="22"/>
        </w:rPr>
        <w:sectPr w:rsidR="00DA2289">
          <w:footerReference w:type="default" r:id="rId11"/>
          <w:pgSz w:w="11906" w:h="16838"/>
          <w:pgMar w:top="1440" w:right="1797" w:bottom="1134" w:left="1797" w:header="709" w:footer="709" w:gutter="0"/>
          <w:cols w:space="708"/>
          <w:docGrid w:linePitch="360"/>
        </w:sectPr>
      </w:pPr>
      <w:bookmarkStart w:id="0" w:name="_GoBack"/>
      <w:bookmarkEnd w:id="0"/>
    </w:p>
    <w:p w:rsidR="00DA2289" w:rsidRDefault="00DA2289">
      <w:pPr>
        <w:jc w:val="both"/>
        <w:rPr>
          <w:sz w:val="22"/>
        </w:rPr>
      </w:pPr>
    </w:p>
    <w:tbl>
      <w:tblPr>
        <w:tblW w:w="15000" w:type="dxa"/>
        <w:tblInd w:w="-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5000"/>
      </w:tblGrid>
      <w:tr w:rsidR="00DA2289">
        <w:tblPrEx>
          <w:tblCellMar>
            <w:top w:w="0" w:type="dxa"/>
            <w:bottom w:w="0" w:type="dxa"/>
          </w:tblCellMar>
        </w:tblPrEx>
        <w:tc>
          <w:tcPr>
            <w:tcW w:w="15000" w:type="dxa"/>
            <w:shd w:val="clear" w:color="auto" w:fill="000000"/>
          </w:tcPr>
          <w:p w:rsidR="00DA2289" w:rsidRDefault="00DA2289">
            <w:pPr>
              <w:jc w:val="center"/>
              <w:rPr>
                <w:b/>
                <w:bCs w:val="0"/>
              </w:rPr>
            </w:pPr>
            <w:r>
              <w:rPr>
                <w:b/>
                <w:bCs w:val="0"/>
              </w:rPr>
              <w:br/>
              <w:t>Test Result Proforma</w:t>
            </w:r>
            <w:r>
              <w:rPr>
                <w:b/>
                <w:bCs w:val="0"/>
              </w:rPr>
              <w:br/>
            </w:r>
          </w:p>
        </w:tc>
      </w:tr>
    </w:tbl>
    <w:p w:rsidR="00DA2289" w:rsidRDefault="00DA2289">
      <w:pPr>
        <w:jc w:val="both"/>
        <w:rPr>
          <w:sz w:val="22"/>
        </w:rPr>
      </w:pPr>
    </w:p>
    <w:p w:rsidR="00DA2289" w:rsidRDefault="00DA2289">
      <w:pPr>
        <w:jc w:val="both"/>
        <w:rPr>
          <w:sz w:val="22"/>
        </w:rPr>
      </w:pPr>
    </w:p>
    <w:tbl>
      <w:tblPr>
        <w:tblW w:w="15000" w:type="dxa"/>
        <w:tblInd w:w="-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200"/>
        <w:gridCol w:w="2040"/>
        <w:gridCol w:w="2040"/>
        <w:gridCol w:w="2160"/>
        <w:gridCol w:w="1884"/>
        <w:gridCol w:w="2196"/>
        <w:gridCol w:w="2400"/>
      </w:tblGrid>
      <w:tr w:rsidR="00DA2289">
        <w:tblPrEx>
          <w:tblCellMar>
            <w:top w:w="0" w:type="dxa"/>
            <w:bottom w:w="0" w:type="dxa"/>
          </w:tblCellMar>
        </w:tblPrEx>
        <w:tc>
          <w:tcPr>
            <w:tcW w:w="1080" w:type="dxa"/>
            <w:shd w:val="clear" w:color="auto" w:fill="C0C0C0"/>
          </w:tcPr>
          <w:p w:rsidR="00DA2289" w:rsidRDefault="00DA2289">
            <w:pPr>
              <w:jc w:val="center"/>
              <w:rPr>
                <w:b/>
                <w:bCs w:val="0"/>
                <w:sz w:val="22"/>
              </w:rPr>
            </w:pPr>
            <w:r>
              <w:rPr>
                <w:b/>
                <w:bCs w:val="0"/>
                <w:sz w:val="22"/>
              </w:rPr>
              <w:t>Date</w:t>
            </w:r>
          </w:p>
        </w:tc>
        <w:tc>
          <w:tcPr>
            <w:tcW w:w="1200" w:type="dxa"/>
            <w:shd w:val="clear" w:color="auto" w:fill="C0C0C0"/>
          </w:tcPr>
          <w:p w:rsidR="00DA2289" w:rsidRDefault="00DA2289">
            <w:pPr>
              <w:jc w:val="center"/>
              <w:rPr>
                <w:b/>
                <w:bCs w:val="0"/>
                <w:sz w:val="22"/>
              </w:rPr>
            </w:pPr>
            <w:r>
              <w:rPr>
                <w:b/>
                <w:bCs w:val="0"/>
                <w:sz w:val="22"/>
              </w:rPr>
              <w:t>Time</w:t>
            </w:r>
          </w:p>
        </w:tc>
        <w:tc>
          <w:tcPr>
            <w:tcW w:w="2040" w:type="dxa"/>
            <w:shd w:val="clear" w:color="auto" w:fill="C0C0C0"/>
          </w:tcPr>
          <w:p w:rsidR="00DA2289" w:rsidRDefault="00DA2289">
            <w:pPr>
              <w:jc w:val="center"/>
              <w:rPr>
                <w:b/>
                <w:bCs w:val="0"/>
                <w:sz w:val="22"/>
              </w:rPr>
            </w:pPr>
            <w:r>
              <w:rPr>
                <w:b/>
                <w:bCs w:val="0"/>
                <w:sz w:val="22"/>
              </w:rPr>
              <w:t>Location</w:t>
            </w:r>
          </w:p>
        </w:tc>
        <w:tc>
          <w:tcPr>
            <w:tcW w:w="2040" w:type="dxa"/>
            <w:shd w:val="clear" w:color="auto" w:fill="C0C0C0"/>
          </w:tcPr>
          <w:p w:rsidR="00DA2289" w:rsidRDefault="00DA2289">
            <w:pPr>
              <w:jc w:val="center"/>
              <w:rPr>
                <w:b/>
                <w:bCs w:val="0"/>
                <w:sz w:val="22"/>
              </w:rPr>
            </w:pPr>
            <w:r>
              <w:rPr>
                <w:b/>
                <w:bCs w:val="0"/>
                <w:sz w:val="22"/>
              </w:rPr>
              <w:t>Tester</w:t>
            </w:r>
          </w:p>
        </w:tc>
        <w:tc>
          <w:tcPr>
            <w:tcW w:w="2160" w:type="dxa"/>
            <w:shd w:val="clear" w:color="auto" w:fill="C0C0C0"/>
          </w:tcPr>
          <w:p w:rsidR="00DA2289" w:rsidRDefault="00DA2289">
            <w:pPr>
              <w:jc w:val="center"/>
              <w:rPr>
                <w:b/>
                <w:bCs w:val="0"/>
                <w:sz w:val="22"/>
              </w:rPr>
            </w:pPr>
            <w:r>
              <w:rPr>
                <w:b/>
                <w:bCs w:val="0"/>
                <w:sz w:val="22"/>
              </w:rPr>
              <w:t>Employee</w:t>
            </w:r>
          </w:p>
        </w:tc>
        <w:tc>
          <w:tcPr>
            <w:tcW w:w="1884" w:type="dxa"/>
            <w:shd w:val="clear" w:color="auto" w:fill="C0C0C0"/>
          </w:tcPr>
          <w:p w:rsidR="00DA2289" w:rsidRDefault="00DA2289">
            <w:pPr>
              <w:jc w:val="center"/>
              <w:rPr>
                <w:b/>
                <w:bCs w:val="0"/>
                <w:sz w:val="22"/>
              </w:rPr>
            </w:pPr>
            <w:r>
              <w:rPr>
                <w:b/>
                <w:bCs w:val="0"/>
                <w:sz w:val="22"/>
              </w:rPr>
              <w:t>Result</w:t>
            </w:r>
          </w:p>
        </w:tc>
        <w:tc>
          <w:tcPr>
            <w:tcW w:w="2196" w:type="dxa"/>
            <w:shd w:val="clear" w:color="auto" w:fill="C0C0C0"/>
          </w:tcPr>
          <w:p w:rsidR="00DA2289" w:rsidRDefault="00DA2289">
            <w:pPr>
              <w:jc w:val="center"/>
              <w:rPr>
                <w:b/>
                <w:bCs w:val="0"/>
                <w:sz w:val="22"/>
              </w:rPr>
            </w:pPr>
            <w:r>
              <w:rPr>
                <w:b/>
                <w:bCs w:val="0"/>
                <w:sz w:val="22"/>
              </w:rPr>
              <w:t>Signature</w:t>
            </w:r>
            <w:r>
              <w:rPr>
                <w:b/>
                <w:bCs w:val="0"/>
                <w:sz w:val="22"/>
              </w:rPr>
              <w:br/>
              <w:t>- Tester</w:t>
            </w:r>
          </w:p>
        </w:tc>
        <w:tc>
          <w:tcPr>
            <w:tcW w:w="2400" w:type="dxa"/>
            <w:shd w:val="clear" w:color="auto" w:fill="C0C0C0"/>
          </w:tcPr>
          <w:p w:rsidR="00DA2289" w:rsidRDefault="00DA2289">
            <w:pPr>
              <w:jc w:val="center"/>
              <w:rPr>
                <w:b/>
                <w:bCs w:val="0"/>
                <w:sz w:val="22"/>
              </w:rPr>
            </w:pPr>
            <w:r>
              <w:rPr>
                <w:b/>
                <w:bCs w:val="0"/>
                <w:sz w:val="22"/>
              </w:rPr>
              <w:t>Signature</w:t>
            </w:r>
          </w:p>
          <w:p w:rsidR="00DA2289" w:rsidRDefault="00DA2289">
            <w:pPr>
              <w:jc w:val="center"/>
              <w:rPr>
                <w:b/>
                <w:bCs w:val="0"/>
                <w:sz w:val="22"/>
              </w:rPr>
            </w:pPr>
            <w:r>
              <w:rPr>
                <w:b/>
                <w:bCs w:val="0"/>
                <w:sz w:val="22"/>
              </w:rPr>
              <w:t>- Employee</w:t>
            </w:r>
          </w:p>
        </w:tc>
      </w:tr>
      <w:tr w:rsidR="00DA2289">
        <w:tblPrEx>
          <w:tblCellMar>
            <w:top w:w="0" w:type="dxa"/>
            <w:bottom w:w="0" w:type="dxa"/>
          </w:tblCellMar>
        </w:tblPrEx>
        <w:trPr>
          <w:trHeight w:val="746"/>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r w:rsidR="00DA2289">
        <w:tblPrEx>
          <w:tblCellMar>
            <w:top w:w="0" w:type="dxa"/>
            <w:bottom w:w="0" w:type="dxa"/>
          </w:tblCellMar>
        </w:tblPrEx>
        <w:trPr>
          <w:trHeight w:val="696"/>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r w:rsidR="00DA2289">
        <w:tblPrEx>
          <w:tblCellMar>
            <w:top w:w="0" w:type="dxa"/>
            <w:bottom w:w="0" w:type="dxa"/>
          </w:tblCellMar>
        </w:tblPrEx>
        <w:trPr>
          <w:trHeight w:val="717"/>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r w:rsidR="00DA2289">
        <w:tblPrEx>
          <w:tblCellMar>
            <w:top w:w="0" w:type="dxa"/>
            <w:bottom w:w="0" w:type="dxa"/>
          </w:tblCellMar>
        </w:tblPrEx>
        <w:trPr>
          <w:trHeight w:val="902"/>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r w:rsidR="00DA2289">
        <w:tblPrEx>
          <w:tblCellMar>
            <w:top w:w="0" w:type="dxa"/>
            <w:bottom w:w="0" w:type="dxa"/>
          </w:tblCellMar>
        </w:tblPrEx>
        <w:trPr>
          <w:trHeight w:val="879"/>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r w:rsidR="00DA2289">
        <w:tblPrEx>
          <w:tblCellMar>
            <w:top w:w="0" w:type="dxa"/>
            <w:bottom w:w="0" w:type="dxa"/>
          </w:tblCellMar>
        </w:tblPrEx>
        <w:trPr>
          <w:trHeight w:val="716"/>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r w:rsidR="00DA2289">
        <w:tblPrEx>
          <w:tblCellMar>
            <w:top w:w="0" w:type="dxa"/>
            <w:bottom w:w="0" w:type="dxa"/>
          </w:tblCellMar>
        </w:tblPrEx>
        <w:trPr>
          <w:trHeight w:val="694"/>
        </w:trPr>
        <w:tc>
          <w:tcPr>
            <w:tcW w:w="1080" w:type="dxa"/>
          </w:tcPr>
          <w:p w:rsidR="00DA2289" w:rsidRDefault="00DA2289">
            <w:pPr>
              <w:jc w:val="both"/>
              <w:rPr>
                <w:sz w:val="22"/>
              </w:rPr>
            </w:pPr>
          </w:p>
        </w:tc>
        <w:tc>
          <w:tcPr>
            <w:tcW w:w="1200" w:type="dxa"/>
          </w:tcPr>
          <w:p w:rsidR="00DA2289" w:rsidRDefault="00DA2289">
            <w:pPr>
              <w:jc w:val="both"/>
              <w:rPr>
                <w:sz w:val="22"/>
              </w:rPr>
            </w:pPr>
          </w:p>
        </w:tc>
        <w:tc>
          <w:tcPr>
            <w:tcW w:w="2040" w:type="dxa"/>
          </w:tcPr>
          <w:p w:rsidR="00DA2289" w:rsidRDefault="00DA2289">
            <w:pPr>
              <w:jc w:val="both"/>
              <w:rPr>
                <w:sz w:val="22"/>
              </w:rPr>
            </w:pPr>
          </w:p>
        </w:tc>
        <w:tc>
          <w:tcPr>
            <w:tcW w:w="2040" w:type="dxa"/>
          </w:tcPr>
          <w:p w:rsidR="00DA2289" w:rsidRDefault="00DA2289">
            <w:pPr>
              <w:jc w:val="both"/>
              <w:rPr>
                <w:sz w:val="22"/>
              </w:rPr>
            </w:pPr>
          </w:p>
        </w:tc>
        <w:tc>
          <w:tcPr>
            <w:tcW w:w="2160" w:type="dxa"/>
          </w:tcPr>
          <w:p w:rsidR="00DA2289" w:rsidRDefault="00DA2289">
            <w:pPr>
              <w:jc w:val="both"/>
              <w:rPr>
                <w:sz w:val="22"/>
              </w:rPr>
            </w:pPr>
          </w:p>
        </w:tc>
        <w:tc>
          <w:tcPr>
            <w:tcW w:w="1884" w:type="dxa"/>
          </w:tcPr>
          <w:p w:rsidR="00DA2289" w:rsidRDefault="00DA2289">
            <w:pPr>
              <w:jc w:val="both"/>
              <w:rPr>
                <w:sz w:val="22"/>
              </w:rPr>
            </w:pPr>
          </w:p>
        </w:tc>
        <w:tc>
          <w:tcPr>
            <w:tcW w:w="2196" w:type="dxa"/>
          </w:tcPr>
          <w:p w:rsidR="00DA2289" w:rsidRDefault="00DA2289">
            <w:pPr>
              <w:jc w:val="both"/>
              <w:rPr>
                <w:sz w:val="22"/>
              </w:rPr>
            </w:pPr>
          </w:p>
        </w:tc>
        <w:tc>
          <w:tcPr>
            <w:tcW w:w="2400" w:type="dxa"/>
          </w:tcPr>
          <w:p w:rsidR="00DA2289" w:rsidRDefault="00DA2289">
            <w:pPr>
              <w:jc w:val="both"/>
              <w:rPr>
                <w:sz w:val="22"/>
              </w:rPr>
            </w:pPr>
          </w:p>
        </w:tc>
      </w:tr>
    </w:tbl>
    <w:p w:rsidR="00DA2289" w:rsidRDefault="00DA2289">
      <w:pPr>
        <w:jc w:val="both"/>
      </w:pPr>
    </w:p>
    <w:sectPr w:rsidR="00DA2289">
      <w:pgSz w:w="16838" w:h="11906" w:orient="landscape" w:code="9"/>
      <w:pgMar w:top="1797" w:right="1440" w:bottom="1797" w:left="51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289" w:rsidRDefault="00DA2289">
      <w:r>
        <w:separator/>
      </w:r>
    </w:p>
  </w:endnote>
  <w:endnote w:type="continuationSeparator" w:id="0">
    <w:p w:rsidR="00DA2289" w:rsidRDefault="00DA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89" w:rsidRDefault="00DA2289">
    <w:pPr>
      <w:pStyle w:val="Footer"/>
      <w:jc w:val="center"/>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Pr>
        <w:noProof/>
        <w:sz w:val="16"/>
        <w:lang w:val="en-US"/>
      </w:rPr>
      <w:t>2</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289" w:rsidRDefault="00DA2289">
      <w:r>
        <w:separator/>
      </w:r>
    </w:p>
  </w:footnote>
  <w:footnote w:type="continuationSeparator" w:id="0">
    <w:p w:rsidR="00DA2289" w:rsidRDefault="00DA2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83279"/>
    <w:multiLevelType w:val="hybridMultilevel"/>
    <w:tmpl w:val="C96E1EDE"/>
    <w:lvl w:ilvl="0" w:tplc="A502AE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58"/>
    <w:rsid w:val="00175758"/>
    <w:rsid w:val="00DA22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06DCBC-4FEC-493F-AE2B-3998E88C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bCs/>
      <w:sz w:val="24"/>
      <w:szCs w:val="24"/>
      <w:lang w:eastAsia="en-US"/>
    </w:rPr>
  </w:style>
  <w:style w:type="paragraph" w:styleId="Heading1">
    <w:name w:val="heading 1"/>
    <w:basedOn w:val="Normal"/>
    <w:next w:val="Normal"/>
    <w:qFormat/>
    <w:pPr>
      <w:keepNext/>
      <w:jc w:val="center"/>
      <w:outlineLvl w:val="0"/>
    </w:pPr>
    <w:rPr>
      <w:b/>
      <w:bCs w:val="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val="0"/>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sz w:val="22"/>
    </w:rPr>
  </w:style>
  <w:style w:type="character" w:styleId="Hyperlink">
    <w:name w:val="Hyperlink"/>
    <w:semiHidden/>
    <w:rPr>
      <w:color w:val="0000FF"/>
      <w:u w:val="single"/>
    </w:rPr>
  </w:style>
  <w:style w:type="character" w:customStyle="1" w:styleId="BodyTextChar">
    <w:name w:val="Body Text Char"/>
    <w:link w:val="BodyText"/>
    <w:semiHidden/>
    <w:rsid w:val="00175758"/>
    <w:rPr>
      <w:rFonts w:ascii="Arial" w:hAnsi="Arial" w:cs="Arial"/>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urescree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FD823-E1A7-42C6-881C-B69E9875BBFB}">
  <ds:schemaRefs>
    <ds:schemaRef ds:uri="http://schemas.microsoft.com/sharepoint/v3/contenttype/forms"/>
  </ds:schemaRefs>
</ds:datastoreItem>
</file>

<file path=customXml/itemProps2.xml><?xml version="1.0" encoding="utf-8"?>
<ds:datastoreItem xmlns:ds="http://schemas.openxmlformats.org/officeDocument/2006/customXml" ds:itemID="{A8D5A946-080C-465E-BC09-22126A341BCF}">
  <ds:schemaRefs>
    <ds:schemaRef ds:uri="http://schemas.microsoft.com/office/2006/metadata/longProperties"/>
  </ds:schemaRefs>
</ds:datastoreItem>
</file>

<file path=customXml/itemProps3.xml><?xml version="1.0" encoding="utf-8"?>
<ds:datastoreItem xmlns:ds="http://schemas.openxmlformats.org/officeDocument/2006/customXml" ds:itemID="{B28D0C06-DA16-4054-8D63-EAD1BE16292A}"/>
</file>

<file path=customXml/itemProps4.xml><?xml version="1.0" encoding="utf-8"?>
<ds:datastoreItem xmlns:ds="http://schemas.openxmlformats.org/officeDocument/2006/customXml" ds:itemID="{1900219D-B1F2-476A-8592-6F94CDA3744E}"/>
</file>

<file path=docProps/app.xml><?xml version="1.0" encoding="utf-8"?>
<Properties xmlns="http://schemas.openxmlformats.org/officeDocument/2006/extended-properties" xmlns:vt="http://schemas.openxmlformats.org/officeDocument/2006/docPropsVTypes">
  <Template>Normal.dotm</Template>
  <TotalTime>24</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TESTING PROTOCOL</vt:lpstr>
    </vt:vector>
  </TitlesOfParts>
  <Company>London Borough of Enfield</Company>
  <LinksUpToDate>false</LinksUpToDate>
  <CharactersWithSpaces>2508</CharactersWithSpaces>
  <SharedDoc>false</SharedDoc>
  <HLinks>
    <vt:vector size="6" baseType="variant">
      <vt:variant>
        <vt:i4>2097190</vt:i4>
      </vt:variant>
      <vt:variant>
        <vt:i4>0</vt:i4>
      </vt:variant>
      <vt:variant>
        <vt:i4>0</vt:i4>
      </vt:variant>
      <vt:variant>
        <vt:i4>5</vt:i4>
      </vt:variant>
      <vt:variant>
        <vt:lpwstr>http://www.surescreen.com/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Breathalyser Testing Protocol</dc:title>
  <dc:subject/>
  <dc:creator>user</dc:creator>
  <cp:keywords/>
  <dc:description/>
  <cp:lastModifiedBy>Katy Nahum</cp:lastModifiedBy>
  <cp:revision>9</cp:revision>
  <cp:lastPrinted>2007-01-15T21:45:00Z</cp:lastPrinted>
  <dcterms:created xsi:type="dcterms:W3CDTF">2019-04-08T10:37:00Z</dcterms:created>
  <dcterms:modified xsi:type="dcterms:W3CDTF">2019-04-08T10:37:00Z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Alcohol, Drugs, Substance Abuse</vt:lpwstr>
  </property>
  <property fmtid="{D5CDD505-2E9C-101B-9397-08002B2CF9AE}" pid="3" name="AuthorIds_UIVersion_1024">
    <vt:lpwstr>33</vt:lpwstr>
  </property>
  <property fmtid="{D5CDD505-2E9C-101B-9397-08002B2CF9AE}" pid="4" name="display_urn:schemas-microsoft-com:office:office#Editor">
    <vt:lpwstr>SPO Admin service account</vt:lpwstr>
  </property>
  <property fmtid="{D5CDD505-2E9C-101B-9397-08002B2CF9AE}" pid="5" name="xd_Signature">
    <vt:lpwstr/>
  </property>
  <property fmtid="{D5CDD505-2E9C-101B-9397-08002B2CF9AE}" pid="6" name="Order">
    <vt:lpwstr>16600.0000000000</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SPO Admin service account</vt:lpwstr>
  </property>
  <property fmtid="{D5CDD505-2E9C-101B-9397-08002B2CF9AE}" pid="11" name="ContentTypeId">
    <vt:lpwstr>0x0101005C3A2D02A1B50D489E4A94DAA1306EA2</vt:lpwstr>
  </property>
  <property fmtid="{D5CDD505-2E9C-101B-9397-08002B2CF9AE}" pid="12" name="_SourceUrl">
    <vt:lpwstr/>
  </property>
  <property fmtid="{D5CDD505-2E9C-101B-9397-08002B2CF9AE}" pid="13" name="_SharedFileIndex">
    <vt:lpwstr/>
  </property>
  <property fmtid="{D5CDD505-2E9C-101B-9397-08002B2CF9AE}" pid="14" name="nbf5b9f3459d4f50b3759cb1e2e8b362">
    <vt:lpwstr>Alcoho, Drugs, Substance Abuse|ed80ca6e-c9ca-49d2-8a70-76ba6f11df3f</vt:lpwstr>
  </property>
  <property fmtid="{D5CDD505-2E9C-101B-9397-08002B2CF9AE}" pid="15" name="ib1cf98d94c74dd2ae820cd9a33c81ed">
    <vt:lpwstr>017_LBE_Intranet_HR|48643eb5-46f8-4fdb-9666-6aae09909773</vt:lpwstr>
  </property>
  <property fmtid="{D5CDD505-2E9C-101B-9397-08002B2CF9AE}" pid="16" name="f918242f738d4915aab117ad90bdbe8a">
    <vt:lpwstr>OFFICIAL|202decae-6396-4886-b285-d039d6d668bd</vt:lpwstr>
  </property>
  <property fmtid="{D5CDD505-2E9C-101B-9397-08002B2CF9AE}" pid="17" name="TaxCatchAll">
    <vt:lpwstr>5;#Alcohol,Drugs,Substance Abuse|ed80ca6e-c9ca-49d2-8a70-76ba6f11df3f;#2;#017_LBE_Intranet_HR|48643eb5-46f8-4fdb-9666-6aae09909773;#1;#OFFICIAL|202decae-6396-4886-b285-d039d6d668bd</vt:lpwstr>
  </property>
  <property fmtid="{D5CDD505-2E9C-101B-9397-08002B2CF9AE}" pid="18" name="TaxKeywordTaxHTField">
    <vt:lpwstr/>
  </property>
  <property fmtid="{D5CDD505-2E9C-101B-9397-08002B2CF9AE}" pid="19" name="LBE HR and Payroll Classification">
    <vt:lpwstr>52;#Alcoho, Drugs, Substance Abuse|ed80ca6e-c9ca-49d2-8a70-76ba6f11df3f</vt:lpwstr>
  </property>
  <property fmtid="{D5CDD505-2E9C-101B-9397-08002B2CF9AE}" pid="20" name="TaxKeyword">
    <vt:lpwstr/>
  </property>
  <property fmtid="{D5CDD505-2E9C-101B-9397-08002B2CF9AE}" pid="21" name="LBE Record Type">
    <vt:lpwstr>2;#017_LBE_Intranet_HR|48643eb5-46f8-4fdb-9666-6aae09909773</vt:lpwstr>
  </property>
  <property fmtid="{D5CDD505-2E9C-101B-9397-08002B2CF9AE}" pid="22" name="LBE Classification">
    <vt:lpwstr>1;#OFFICIAL|202decae-6396-4886-b285-d039d6d668bd</vt:lpwstr>
  </property>
  <property fmtid="{D5CDD505-2E9C-101B-9397-08002B2CF9AE}" pid="23" name="g4c2855257bf47fa9db2c5e7036b8523">
    <vt:lpwstr/>
  </property>
  <property fmtid="{D5CDD505-2E9C-101B-9397-08002B2CF9AE}" pid="24" name="LBE Description">
    <vt:lpwstr/>
  </property>
  <property fmtid="{D5CDD505-2E9C-101B-9397-08002B2CF9AE}" pid="25" name="o2a4397ecc8440d2b60171e6a9978475">
    <vt:lpwstr>OFFICIAL|202decae-6396-4886-b285-d039d6d668bd</vt:lpwstr>
  </property>
  <property fmtid="{D5CDD505-2E9C-101B-9397-08002B2CF9AE}" pid="26" name="oe9d12bd24c047598b0f790ffd1f15cb">
    <vt:lpwstr>Alcohol,Drugs,Substance Abuse|ed80ca6e-c9ca-49d2-8a70-76ba6f11df3f</vt:lpwstr>
  </property>
  <property fmtid="{D5CDD505-2E9C-101B-9397-08002B2CF9AE}" pid="27" name="b8f45f8a0ae24d62bb0d9c9c459738bb">
    <vt:lpwstr>017_LBE_Intranet_HR|48643eb5-46f8-4fdb-9666-6aae09909773</vt:lpwstr>
  </property>
  <property fmtid="{D5CDD505-2E9C-101B-9397-08002B2CF9AE}" pid="28" name="Local Classification">
    <vt:lpwstr>5;#Alcohol,Drugs,Substance Abuse|ed80ca6e-c9ca-49d2-8a70-76ba6f11df3f</vt:lpwstr>
  </property>
</Properties>
</file>